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6C5BA5">
      <w:pPr>
        <w:widowControl/>
        <w:pBdr>
          <w:top w:val="none" w:color="000000" w:sz="0" w:space="0"/>
          <w:left w:val="none" w:color="000000" w:sz="0" w:space="0"/>
          <w:bottom w:val="none" w:color="000000" w:sz="0" w:space="0"/>
          <w:right w:val="none" w:color="000000" w:sz="0" w:space="0"/>
        </w:pBdr>
        <w:spacing w:line="85" w:lineRule="atLeast"/>
        <w:ind w:firstLine="1446"/>
        <w:jc w:val="center"/>
        <w:rPr>
          <w:rFonts w:ascii="Arial" w:hAnsi="Arial" w:eastAsia="Arial" w:cs="Times New Roman"/>
          <w:color w:val="auto"/>
          <w:kern w:val="0"/>
          <w:sz w:val="22"/>
          <w:highlight w:val="none"/>
        </w:rPr>
      </w:pPr>
      <w:bookmarkStart w:id="0" w:name="OLE_LINK9"/>
      <w:r>
        <w:rPr>
          <w:rFonts w:ascii="宋体" w:hAnsi="宋体" w:cs="宋体"/>
          <w:b/>
          <w:color w:val="auto"/>
          <w:kern w:val="0"/>
          <w:sz w:val="72"/>
          <w:highlight w:val="none"/>
        </w:rPr>
        <w:t>太仓市政府采购</w:t>
      </w:r>
    </w:p>
    <w:p w14:paraId="2DA824A5">
      <w:pPr>
        <w:widowControl/>
        <w:pBdr>
          <w:top w:val="none" w:color="000000" w:sz="0" w:space="0"/>
          <w:left w:val="none" w:color="000000" w:sz="0" w:space="0"/>
          <w:bottom w:val="none" w:color="000000" w:sz="0" w:space="0"/>
          <w:right w:val="none" w:color="000000" w:sz="0" w:space="0"/>
        </w:pBdr>
        <w:spacing w:line="85" w:lineRule="atLeast"/>
        <w:ind w:firstLine="1446"/>
        <w:jc w:val="center"/>
        <w:rPr>
          <w:rFonts w:ascii="Arial" w:hAnsi="Arial" w:eastAsia="Arial" w:cs="Times New Roman"/>
          <w:color w:val="auto"/>
          <w:kern w:val="0"/>
          <w:sz w:val="22"/>
          <w:highlight w:val="none"/>
        </w:rPr>
      </w:pPr>
      <w:r>
        <w:rPr>
          <w:rFonts w:ascii="宋体" w:hAnsi="宋体" w:cs="宋体"/>
          <w:b/>
          <w:color w:val="auto"/>
          <w:kern w:val="0"/>
          <w:sz w:val="72"/>
          <w:highlight w:val="none"/>
        </w:rPr>
        <w:t> </w:t>
      </w:r>
    </w:p>
    <w:p w14:paraId="2C098696">
      <w:pPr>
        <w:widowControl/>
        <w:pBdr>
          <w:top w:val="none" w:color="000000" w:sz="0" w:space="0"/>
          <w:left w:val="none" w:color="000000" w:sz="0" w:space="0"/>
          <w:bottom w:val="none" w:color="000000" w:sz="0" w:space="0"/>
          <w:right w:val="none" w:color="000000" w:sz="0" w:space="0"/>
        </w:pBdr>
        <w:spacing w:line="85" w:lineRule="atLeast"/>
        <w:ind w:firstLine="1446"/>
        <w:jc w:val="center"/>
        <w:rPr>
          <w:rFonts w:ascii="Arial" w:hAnsi="Arial" w:eastAsia="Arial" w:cs="Times New Roman"/>
          <w:color w:val="auto"/>
          <w:kern w:val="0"/>
          <w:sz w:val="22"/>
          <w:highlight w:val="none"/>
        </w:rPr>
      </w:pPr>
      <w:r>
        <w:rPr>
          <w:rFonts w:hint="eastAsia" w:ascii="宋体" w:hAnsi="宋体" w:cs="宋体"/>
          <w:b/>
          <w:color w:val="auto"/>
          <w:kern w:val="0"/>
          <w:sz w:val="72"/>
          <w:highlight w:val="none"/>
        </w:rPr>
        <w:t xml:space="preserve">单 一 </w:t>
      </w:r>
      <w:r>
        <w:rPr>
          <w:rFonts w:ascii="宋体" w:hAnsi="宋体" w:cs="宋体"/>
          <w:b/>
          <w:color w:val="auto"/>
          <w:kern w:val="0"/>
          <w:sz w:val="72"/>
          <w:highlight w:val="none"/>
        </w:rPr>
        <w:t>来</w:t>
      </w:r>
      <w:r>
        <w:rPr>
          <w:rFonts w:hint="eastAsia" w:ascii="宋体" w:hAnsi="宋体" w:cs="宋体"/>
          <w:b/>
          <w:color w:val="auto"/>
          <w:kern w:val="0"/>
          <w:sz w:val="72"/>
          <w:highlight w:val="none"/>
        </w:rPr>
        <w:t xml:space="preserve"> </w:t>
      </w:r>
      <w:r>
        <w:rPr>
          <w:rFonts w:ascii="宋体" w:hAnsi="宋体" w:cs="宋体"/>
          <w:b/>
          <w:color w:val="auto"/>
          <w:kern w:val="0"/>
          <w:sz w:val="72"/>
          <w:highlight w:val="none"/>
        </w:rPr>
        <w:t>源 文 件</w:t>
      </w:r>
    </w:p>
    <w:p w14:paraId="0C962952">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rPr>
      </w:pPr>
      <w:r>
        <w:rPr>
          <w:rFonts w:ascii="宋体" w:hAnsi="宋体" w:cs="宋体"/>
          <w:color w:val="auto"/>
          <w:kern w:val="0"/>
          <w:highlight w:val="none"/>
        </w:rPr>
        <w:t> </w:t>
      </w:r>
    </w:p>
    <w:p w14:paraId="72F7FCC3">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 </w:t>
      </w:r>
    </w:p>
    <w:p w14:paraId="26CEA5FE">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 </w:t>
      </w:r>
    </w:p>
    <w:p w14:paraId="51C40DEB">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 </w:t>
      </w:r>
    </w:p>
    <w:p w14:paraId="189019F7">
      <w:pPr>
        <w:widowControl/>
        <w:pBdr>
          <w:top w:val="none" w:color="000000" w:sz="0" w:space="0"/>
          <w:left w:val="none" w:color="000000" w:sz="0" w:space="0"/>
          <w:bottom w:val="none" w:color="000000" w:sz="0" w:space="0"/>
          <w:right w:val="none" w:color="000000" w:sz="0" w:space="0"/>
        </w:pBdr>
        <w:spacing w:line="85" w:lineRule="atLeast"/>
        <w:ind w:firstLine="640"/>
        <w:jc w:val="right"/>
        <w:rPr>
          <w:rFonts w:ascii="Arial" w:hAnsi="Arial" w:eastAsia="Arial" w:cs="Times New Roman"/>
          <w:color w:val="auto"/>
          <w:kern w:val="0"/>
          <w:sz w:val="22"/>
          <w:highlight w:val="none"/>
        </w:rPr>
      </w:pPr>
      <w:r>
        <w:rPr>
          <w:rFonts w:ascii="宋体" w:hAnsi="宋体" w:cs="宋体"/>
          <w:color w:val="auto"/>
          <w:kern w:val="0"/>
          <w:sz w:val="32"/>
          <w:highlight w:val="none"/>
        </w:rPr>
        <w:t> </w:t>
      </w:r>
    </w:p>
    <w:p w14:paraId="40EACD63">
      <w:pPr>
        <w:widowControl/>
        <w:pBdr>
          <w:top w:val="none" w:color="000000" w:sz="0" w:space="0"/>
          <w:left w:val="none" w:color="000000" w:sz="0" w:space="0"/>
          <w:bottom w:val="none" w:color="000000" w:sz="0" w:space="0"/>
          <w:right w:val="none" w:color="000000" w:sz="0" w:space="0"/>
        </w:pBdr>
        <w:spacing w:line="580" w:lineRule="exact"/>
        <w:ind w:firstLine="723"/>
        <w:rPr>
          <w:rFonts w:hint="eastAsia" w:ascii="宋体" w:hAnsi="宋体" w:eastAsia="宋体" w:cs="宋体"/>
          <w:b/>
          <w:color w:val="auto"/>
          <w:kern w:val="0"/>
          <w:sz w:val="36"/>
          <w:highlight w:val="none"/>
          <w:lang w:eastAsia="zh-CN"/>
        </w:rPr>
      </w:pPr>
      <w:r>
        <w:rPr>
          <w:rFonts w:ascii="宋体" w:hAnsi="宋体" w:cs="宋体"/>
          <w:b/>
          <w:color w:val="auto"/>
          <w:kern w:val="0"/>
          <w:sz w:val="36"/>
          <w:highlight w:val="none"/>
        </w:rPr>
        <w:t>项目编号：</w:t>
      </w:r>
      <w:r>
        <w:rPr>
          <w:rFonts w:hint="eastAsia" w:ascii="宋体" w:hAnsi="宋体" w:cs="宋体"/>
          <w:b/>
          <w:color w:val="auto"/>
          <w:kern w:val="0"/>
          <w:sz w:val="36"/>
          <w:highlight w:val="none"/>
          <w:lang w:eastAsia="zh-CN"/>
        </w:rPr>
        <w:t>JSZC-320585-JZCG-D2025-0129</w:t>
      </w:r>
    </w:p>
    <w:p w14:paraId="2C97E232">
      <w:pPr>
        <w:widowControl/>
        <w:pBdr>
          <w:top w:val="none" w:color="000000" w:sz="0" w:space="0"/>
          <w:left w:val="none" w:color="000000" w:sz="0" w:space="0"/>
          <w:bottom w:val="none" w:color="000000" w:sz="0" w:space="0"/>
          <w:right w:val="none" w:color="000000" w:sz="0" w:space="0"/>
        </w:pBdr>
        <w:spacing w:line="580" w:lineRule="exact"/>
        <w:ind w:firstLine="723"/>
        <w:rPr>
          <w:rFonts w:hint="eastAsia" w:ascii="宋体" w:hAnsi="宋体" w:cs="宋体"/>
          <w:b/>
          <w:color w:val="auto"/>
          <w:kern w:val="0"/>
          <w:sz w:val="36"/>
          <w:highlight w:val="none"/>
        </w:rPr>
      </w:pPr>
      <w:r>
        <w:rPr>
          <w:rFonts w:ascii="宋体" w:hAnsi="宋体" w:cs="宋体"/>
          <w:b/>
          <w:color w:val="auto"/>
          <w:kern w:val="0"/>
          <w:sz w:val="36"/>
          <w:highlight w:val="none"/>
        </w:rPr>
        <w:t>项目名称：</w:t>
      </w:r>
      <w:bookmarkStart w:id="1" w:name="OLE_LINK10"/>
      <w:r>
        <w:rPr>
          <w:rFonts w:hint="eastAsia" w:ascii="宋体" w:hAnsi="宋体" w:cs="宋体"/>
          <w:b/>
          <w:color w:val="auto"/>
          <w:kern w:val="0"/>
          <w:sz w:val="36"/>
          <w:highlight w:val="none"/>
        </w:rPr>
        <w:t>苏州港船舶服务平台改造</w:t>
      </w:r>
    </w:p>
    <w:bookmarkEnd w:id="1"/>
    <w:p w14:paraId="260072E4">
      <w:pPr>
        <w:widowControl/>
        <w:pBdr>
          <w:top w:val="none" w:color="000000" w:sz="0" w:space="0"/>
          <w:left w:val="none" w:color="000000" w:sz="0" w:space="0"/>
          <w:bottom w:val="none" w:color="000000" w:sz="0" w:space="0"/>
          <w:right w:val="none" w:color="000000" w:sz="0" w:space="0"/>
        </w:pBdr>
        <w:spacing w:line="580" w:lineRule="exact"/>
        <w:ind w:firstLine="723"/>
        <w:rPr>
          <w:rFonts w:ascii="Arial" w:hAnsi="Arial" w:cs="Times New Roman"/>
          <w:color w:val="auto"/>
          <w:kern w:val="0"/>
          <w:sz w:val="22"/>
          <w:highlight w:val="none"/>
        </w:rPr>
      </w:pPr>
      <w:r>
        <w:rPr>
          <w:rFonts w:ascii="宋体" w:hAnsi="宋体" w:cs="宋体"/>
          <w:b/>
          <w:color w:val="auto"/>
          <w:kern w:val="0"/>
          <w:sz w:val="36"/>
          <w:highlight w:val="none"/>
        </w:rPr>
        <w:t>采购单位：</w:t>
      </w:r>
      <w:r>
        <w:rPr>
          <w:rFonts w:hint="eastAsia" w:asciiTheme="minorEastAsia" w:hAnsiTheme="minorEastAsia"/>
          <w:b/>
          <w:color w:val="auto"/>
          <w:sz w:val="36"/>
          <w:szCs w:val="36"/>
          <w:highlight w:val="none"/>
        </w:rPr>
        <w:t>江苏太仓港口管理委员会</w:t>
      </w:r>
    </w:p>
    <w:p w14:paraId="308FC4CF">
      <w:pPr>
        <w:widowControl/>
        <w:pBdr>
          <w:top w:val="none" w:color="000000" w:sz="0" w:space="0"/>
          <w:left w:val="none" w:color="000000" w:sz="0" w:space="0"/>
          <w:bottom w:val="none" w:color="000000" w:sz="0" w:space="0"/>
          <w:right w:val="none" w:color="000000" w:sz="0" w:space="0"/>
        </w:pBdr>
        <w:spacing w:line="580" w:lineRule="exact"/>
        <w:ind w:firstLine="723"/>
        <w:rPr>
          <w:rFonts w:ascii="Arial" w:hAnsi="Arial" w:eastAsia="Arial" w:cs="Times New Roman"/>
          <w:color w:val="auto"/>
          <w:kern w:val="0"/>
          <w:sz w:val="22"/>
          <w:highlight w:val="none"/>
        </w:rPr>
      </w:pPr>
      <w:r>
        <w:rPr>
          <w:rFonts w:ascii="宋体" w:hAnsi="宋体" w:cs="宋体"/>
          <w:b/>
          <w:color w:val="auto"/>
          <w:kern w:val="0"/>
          <w:sz w:val="36"/>
          <w:highlight w:val="none"/>
        </w:rPr>
        <w:t>采购项目类别：服务类</w:t>
      </w:r>
    </w:p>
    <w:p w14:paraId="26A4E638">
      <w:pPr>
        <w:widowControl/>
        <w:pBdr>
          <w:top w:val="none" w:color="000000" w:sz="0" w:space="0"/>
          <w:left w:val="none" w:color="000000" w:sz="0" w:space="0"/>
          <w:bottom w:val="none" w:color="000000" w:sz="0" w:space="0"/>
          <w:right w:val="none" w:color="000000" w:sz="0" w:space="0"/>
        </w:pBdr>
        <w:spacing w:line="580" w:lineRule="exact"/>
        <w:ind w:firstLine="723"/>
        <w:rPr>
          <w:rFonts w:ascii="Arial" w:hAnsi="Arial" w:eastAsia="Arial" w:cs="Times New Roman"/>
          <w:color w:val="auto"/>
          <w:kern w:val="0"/>
          <w:sz w:val="22"/>
          <w:highlight w:val="none"/>
        </w:rPr>
      </w:pPr>
      <w:r>
        <w:rPr>
          <w:rFonts w:ascii="宋体" w:hAnsi="宋体" w:cs="宋体"/>
          <w:b/>
          <w:color w:val="auto"/>
          <w:kern w:val="0"/>
          <w:sz w:val="36"/>
          <w:highlight w:val="none"/>
        </w:rPr>
        <w:t>标的所属行业：</w:t>
      </w:r>
      <w:r>
        <w:rPr>
          <w:rFonts w:hint="eastAsia" w:ascii="宋体" w:hAnsi="宋体" w:cs="宋体"/>
          <w:b/>
          <w:color w:val="auto"/>
          <w:kern w:val="0"/>
          <w:sz w:val="36"/>
          <w:highlight w:val="none"/>
        </w:rPr>
        <w:t>软件和信息技术服务业</w:t>
      </w:r>
    </w:p>
    <w:p w14:paraId="62B08577">
      <w:pPr>
        <w:widowControl/>
        <w:pBdr>
          <w:top w:val="none" w:color="000000" w:sz="0" w:space="0"/>
          <w:left w:val="none" w:color="000000" w:sz="0" w:space="0"/>
          <w:bottom w:val="none" w:color="000000" w:sz="0" w:space="0"/>
          <w:right w:val="none" w:color="000000" w:sz="0" w:space="0"/>
        </w:pBdr>
        <w:spacing w:line="580" w:lineRule="exact"/>
        <w:ind w:firstLine="560"/>
        <w:rPr>
          <w:rFonts w:hint="eastAsia" w:ascii="宋体" w:hAnsi="宋体" w:cs="宋体"/>
          <w:color w:val="auto"/>
          <w:kern w:val="0"/>
          <w:sz w:val="28"/>
          <w:highlight w:val="none"/>
        </w:rPr>
      </w:pPr>
      <w:r>
        <w:rPr>
          <w:rFonts w:ascii="宋体" w:hAnsi="宋体" w:cs="宋体"/>
          <w:color w:val="auto"/>
          <w:kern w:val="0"/>
          <w:sz w:val="28"/>
          <w:highlight w:val="none"/>
        </w:rPr>
        <w:t> </w:t>
      </w:r>
    </w:p>
    <w:p w14:paraId="6F0B574C">
      <w:pPr>
        <w:spacing w:after="200" w:line="276" w:lineRule="auto"/>
        <w:ind w:firstLine="560"/>
        <w:rPr>
          <w:rFonts w:hint="eastAsia" w:ascii="宋体" w:hAnsi="宋体" w:cs="宋体"/>
          <w:color w:val="auto"/>
          <w:sz w:val="28"/>
          <w:szCs w:val="18"/>
          <w:highlight w:val="none"/>
        </w:rPr>
      </w:pPr>
    </w:p>
    <w:p w14:paraId="5066A3A7">
      <w:pPr>
        <w:spacing w:after="200" w:line="276" w:lineRule="auto"/>
        <w:ind w:firstLine="560"/>
        <w:rPr>
          <w:rFonts w:hint="eastAsia" w:ascii="宋体" w:hAnsi="宋体" w:cs="宋体"/>
          <w:color w:val="auto"/>
          <w:sz w:val="28"/>
          <w:szCs w:val="18"/>
          <w:highlight w:val="none"/>
        </w:rPr>
      </w:pPr>
    </w:p>
    <w:p w14:paraId="6DD6B733">
      <w:pPr>
        <w:spacing w:after="200" w:line="276" w:lineRule="auto"/>
        <w:ind w:firstLine="560"/>
        <w:rPr>
          <w:rFonts w:hint="eastAsia" w:ascii="宋体" w:hAnsi="宋体" w:cs="宋体"/>
          <w:color w:val="auto"/>
          <w:sz w:val="28"/>
          <w:szCs w:val="18"/>
          <w:highlight w:val="none"/>
        </w:rPr>
      </w:pPr>
    </w:p>
    <w:p w14:paraId="3AB39567">
      <w:pPr>
        <w:widowControl/>
        <w:pBdr>
          <w:top w:val="none" w:color="000000" w:sz="0" w:space="0"/>
          <w:left w:val="none" w:color="000000" w:sz="0" w:space="0"/>
          <w:bottom w:val="none" w:color="000000" w:sz="0" w:space="0"/>
          <w:right w:val="none" w:color="000000" w:sz="0" w:space="0"/>
        </w:pBdr>
        <w:spacing w:line="580" w:lineRule="exact"/>
        <w:ind w:firstLine="880"/>
        <w:jc w:val="center"/>
        <w:rPr>
          <w:rFonts w:ascii="Arial" w:hAnsi="Arial" w:eastAsia="Arial" w:cs="Times New Roman"/>
          <w:color w:val="auto"/>
          <w:kern w:val="0"/>
          <w:sz w:val="22"/>
          <w:highlight w:val="none"/>
        </w:rPr>
      </w:pPr>
      <w:r>
        <w:rPr>
          <w:rFonts w:ascii="宋体" w:hAnsi="宋体" w:cs="宋体"/>
          <w:color w:val="auto"/>
          <w:kern w:val="0"/>
          <w:sz w:val="44"/>
          <w:highlight w:val="none"/>
        </w:rPr>
        <w:t>苏州市公共资源交易中心太仓分中心</w:t>
      </w:r>
    </w:p>
    <w:p w14:paraId="1ADA7E0A">
      <w:pPr>
        <w:widowControl/>
        <w:pBdr>
          <w:top w:val="none" w:color="000000" w:sz="0" w:space="0"/>
          <w:left w:val="none" w:color="000000" w:sz="0" w:space="0"/>
          <w:bottom w:val="none" w:color="000000" w:sz="0" w:space="0"/>
          <w:right w:val="none" w:color="000000" w:sz="0" w:space="0"/>
        </w:pBdr>
        <w:spacing w:line="580" w:lineRule="exact"/>
        <w:ind w:firstLine="880"/>
        <w:jc w:val="center"/>
        <w:rPr>
          <w:rFonts w:ascii="Arial" w:hAnsi="Arial" w:eastAsia="Arial" w:cs="Times New Roman"/>
          <w:color w:val="auto"/>
          <w:kern w:val="0"/>
          <w:sz w:val="22"/>
          <w:highlight w:val="none"/>
        </w:rPr>
      </w:pPr>
      <w:r>
        <w:rPr>
          <w:rFonts w:hint="eastAsia" w:ascii="宋体" w:hAnsi="宋体" w:cs="宋体"/>
          <w:color w:val="auto"/>
          <w:kern w:val="0"/>
          <w:sz w:val="44"/>
          <w:highlight w:val="none"/>
        </w:rPr>
        <w:t>2025年10月</w:t>
      </w:r>
      <w:r>
        <w:rPr>
          <w:rFonts w:ascii="宋体" w:hAnsi="宋体" w:cs="宋体"/>
          <w:color w:val="auto"/>
          <w:kern w:val="0"/>
          <w:sz w:val="44"/>
          <w:highlight w:val="none"/>
        </w:rPr>
        <w:br w:type="page" w:clear="all"/>
      </w:r>
    </w:p>
    <w:p w14:paraId="0BAD57B1">
      <w:pPr>
        <w:widowControl/>
        <w:pBdr>
          <w:top w:val="none" w:color="000000" w:sz="0" w:space="0"/>
          <w:left w:val="none" w:color="000000" w:sz="0" w:space="0"/>
          <w:bottom w:val="none" w:color="000000" w:sz="0" w:space="0"/>
          <w:right w:val="none" w:color="000000" w:sz="0" w:space="0"/>
        </w:pBdr>
        <w:spacing w:line="85" w:lineRule="atLeast"/>
        <w:ind w:firstLine="723"/>
        <w:jc w:val="center"/>
        <w:rPr>
          <w:rFonts w:hint="eastAsia" w:ascii="宋体" w:hAnsi="宋体" w:cs="宋体"/>
          <w:color w:val="auto"/>
          <w:kern w:val="0"/>
          <w:sz w:val="30"/>
          <w:highlight w:val="none"/>
        </w:rPr>
      </w:pPr>
      <w:r>
        <w:rPr>
          <w:rFonts w:ascii="宋体" w:hAnsi="宋体" w:cs="宋体"/>
          <w:b/>
          <w:color w:val="auto"/>
          <w:kern w:val="0"/>
          <w:sz w:val="36"/>
          <w:highlight w:val="none"/>
        </w:rPr>
        <w:t>目</w:t>
      </w:r>
      <w:r>
        <w:rPr>
          <w:rFonts w:hint="eastAsia" w:ascii="宋体" w:hAnsi="宋体" w:cs="宋体"/>
          <w:b/>
          <w:color w:val="auto"/>
          <w:kern w:val="0"/>
          <w:sz w:val="36"/>
          <w:highlight w:val="none"/>
        </w:rPr>
        <w:t xml:space="preserve"> </w:t>
      </w:r>
      <w:r>
        <w:rPr>
          <w:rFonts w:ascii="宋体" w:hAnsi="宋体" w:cs="宋体"/>
          <w:b/>
          <w:color w:val="auto"/>
          <w:kern w:val="0"/>
          <w:sz w:val="36"/>
          <w:highlight w:val="none"/>
        </w:rPr>
        <w:t>录</w:t>
      </w:r>
    </w:p>
    <w:p w14:paraId="02CE44BE">
      <w:pPr>
        <w:snapToGrid w:val="0"/>
        <w:spacing w:after="200" w:line="276" w:lineRule="auto"/>
        <w:ind w:firstLine="600"/>
        <w:rPr>
          <w:rFonts w:hint="eastAsia" w:ascii="宋体" w:hAnsi="宋体" w:cs="宋体"/>
          <w:color w:val="auto"/>
          <w:sz w:val="30"/>
          <w:szCs w:val="24"/>
          <w:highlight w:val="none"/>
        </w:rPr>
      </w:pPr>
    </w:p>
    <w:p w14:paraId="2CF92261">
      <w:pPr>
        <w:widowControl/>
        <w:spacing w:after="200"/>
        <w:ind w:firstLine="720"/>
        <w:jc w:val="left"/>
        <w:rPr>
          <w:rFonts w:ascii="宋体" w:hAnsi="宋体" w:eastAsia="Arial" w:cs="Times New Roman"/>
          <w:color w:val="auto"/>
          <w:kern w:val="0"/>
          <w:sz w:val="36"/>
          <w:highlight w:val="none"/>
        </w:rPr>
      </w:pPr>
      <w:r>
        <w:rPr>
          <w:rFonts w:hint="eastAsia" w:ascii="宋体" w:hAnsi="宋体" w:eastAsia="Arial" w:cs="Times New Roman"/>
          <w:color w:val="auto"/>
          <w:kern w:val="0"/>
          <w:sz w:val="36"/>
          <w:highlight w:val="none"/>
        </w:rPr>
        <w:t>第一部分 单一来源采购邀请函</w:t>
      </w:r>
    </w:p>
    <w:p w14:paraId="0A21FFA0">
      <w:pPr>
        <w:widowControl/>
        <w:spacing w:after="200"/>
        <w:ind w:firstLine="720"/>
        <w:jc w:val="left"/>
        <w:rPr>
          <w:rFonts w:ascii="宋体" w:hAnsi="宋体" w:eastAsia="Arial" w:cs="Times New Roman"/>
          <w:color w:val="auto"/>
          <w:kern w:val="0"/>
          <w:sz w:val="36"/>
          <w:highlight w:val="none"/>
        </w:rPr>
      </w:pPr>
      <w:r>
        <w:rPr>
          <w:rFonts w:hint="eastAsia" w:ascii="宋体" w:hAnsi="宋体" w:eastAsia="Arial" w:cs="Times New Roman"/>
          <w:color w:val="auto"/>
          <w:kern w:val="0"/>
          <w:sz w:val="36"/>
          <w:highlight w:val="none"/>
        </w:rPr>
        <w:t>第二部分 单一来源采购文件需求</w:t>
      </w:r>
    </w:p>
    <w:p w14:paraId="5C2E5D2B">
      <w:pPr>
        <w:widowControl/>
        <w:spacing w:after="200"/>
        <w:ind w:firstLine="720"/>
        <w:jc w:val="left"/>
        <w:rPr>
          <w:rFonts w:ascii="宋体" w:hAnsi="宋体" w:eastAsia="Arial" w:cs="Times New Roman"/>
          <w:color w:val="auto"/>
          <w:kern w:val="0"/>
          <w:sz w:val="36"/>
          <w:highlight w:val="none"/>
        </w:rPr>
      </w:pPr>
      <w:r>
        <w:rPr>
          <w:rFonts w:hint="eastAsia" w:ascii="宋体" w:hAnsi="宋体" w:eastAsia="Arial" w:cs="Times New Roman"/>
          <w:color w:val="auto"/>
          <w:kern w:val="0"/>
          <w:sz w:val="36"/>
          <w:highlight w:val="none"/>
        </w:rPr>
        <w:t>第三部分 单一来源采购程序</w:t>
      </w:r>
    </w:p>
    <w:p w14:paraId="7D2DF1B2">
      <w:pPr>
        <w:widowControl/>
        <w:spacing w:after="200"/>
        <w:ind w:firstLine="720"/>
        <w:jc w:val="left"/>
        <w:rPr>
          <w:rFonts w:ascii="宋体" w:hAnsi="宋体" w:eastAsia="Arial" w:cs="Times New Roman"/>
          <w:color w:val="auto"/>
          <w:kern w:val="0"/>
          <w:sz w:val="36"/>
          <w:highlight w:val="none"/>
        </w:rPr>
      </w:pPr>
      <w:r>
        <w:rPr>
          <w:rFonts w:hint="eastAsia" w:ascii="宋体" w:hAnsi="宋体" w:eastAsia="Arial" w:cs="Times New Roman"/>
          <w:color w:val="auto"/>
          <w:kern w:val="0"/>
          <w:sz w:val="36"/>
          <w:highlight w:val="none"/>
        </w:rPr>
        <w:t>第四部分 成交原则</w:t>
      </w:r>
    </w:p>
    <w:p w14:paraId="34417506">
      <w:pPr>
        <w:widowControl/>
        <w:spacing w:after="200"/>
        <w:ind w:firstLine="720"/>
        <w:jc w:val="left"/>
        <w:rPr>
          <w:rFonts w:ascii="宋体" w:hAnsi="宋体" w:eastAsia="Arial" w:cs="Times New Roman"/>
          <w:color w:val="auto"/>
          <w:kern w:val="0"/>
          <w:sz w:val="36"/>
          <w:highlight w:val="none"/>
        </w:rPr>
      </w:pPr>
      <w:r>
        <w:rPr>
          <w:rFonts w:hint="eastAsia" w:ascii="宋体" w:hAnsi="宋体" w:eastAsia="Arial" w:cs="Times New Roman"/>
          <w:color w:val="auto"/>
          <w:kern w:val="0"/>
          <w:sz w:val="36"/>
          <w:highlight w:val="none"/>
        </w:rPr>
        <w:t>第五部分 合同条款</w:t>
      </w:r>
    </w:p>
    <w:p w14:paraId="0FC9D84C">
      <w:pPr>
        <w:widowControl/>
        <w:spacing w:after="200"/>
        <w:ind w:firstLine="720"/>
        <w:jc w:val="left"/>
        <w:rPr>
          <w:rFonts w:ascii="宋体" w:hAnsi="宋体" w:eastAsia="Arial" w:cs="Times New Roman"/>
          <w:color w:val="auto"/>
          <w:kern w:val="0"/>
          <w:sz w:val="36"/>
          <w:highlight w:val="none"/>
          <w:lang w:eastAsia="en-US"/>
        </w:rPr>
      </w:pPr>
      <w:r>
        <w:rPr>
          <w:rFonts w:hint="eastAsia" w:ascii="宋体" w:hAnsi="宋体" w:eastAsia="Arial" w:cs="Times New Roman"/>
          <w:color w:val="auto"/>
          <w:kern w:val="0"/>
          <w:sz w:val="36"/>
          <w:highlight w:val="none"/>
          <w:lang w:eastAsia="en-US"/>
        </w:rPr>
        <w:t>第六部分 响应文件格式</w:t>
      </w:r>
    </w:p>
    <w:p w14:paraId="2F9E1BDE">
      <w:pPr>
        <w:snapToGrid w:val="0"/>
        <w:spacing w:after="200" w:line="276" w:lineRule="auto"/>
        <w:ind w:firstLine="600"/>
        <w:rPr>
          <w:rFonts w:hint="eastAsia" w:ascii="宋体" w:hAnsi="宋体" w:cs="宋体"/>
          <w:color w:val="auto"/>
          <w:sz w:val="30"/>
          <w:szCs w:val="24"/>
          <w:highlight w:val="none"/>
        </w:rPr>
      </w:pPr>
    </w:p>
    <w:p w14:paraId="1ECCFF6E">
      <w:pPr>
        <w:widowControl/>
        <w:pBdr>
          <w:top w:val="none" w:color="000000" w:sz="0" w:space="0"/>
          <w:left w:val="none" w:color="000000" w:sz="0" w:space="0"/>
          <w:bottom w:val="none" w:color="000000" w:sz="0" w:space="0"/>
          <w:right w:val="none" w:color="000000" w:sz="0" w:space="0"/>
        </w:pBdr>
        <w:spacing w:before="240" w:after="240" w:line="276" w:lineRule="auto"/>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w:t>
      </w:r>
    </w:p>
    <w:p w14:paraId="550F4483">
      <w:pPr>
        <w:widowControl/>
        <w:pBdr>
          <w:top w:val="none" w:color="000000" w:sz="0" w:space="0"/>
          <w:left w:val="none" w:color="000000" w:sz="0" w:space="0"/>
          <w:bottom w:val="none" w:color="000000" w:sz="0" w:space="0"/>
          <w:right w:val="none" w:color="000000" w:sz="0" w:space="0"/>
        </w:pBdr>
        <w:spacing w:before="240" w:after="240" w:line="276" w:lineRule="auto"/>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w:t>
      </w:r>
    </w:p>
    <w:p w14:paraId="148C64C9">
      <w:pPr>
        <w:widowControl/>
        <w:pBdr>
          <w:top w:val="none" w:color="000000" w:sz="0" w:space="0"/>
          <w:left w:val="none" w:color="000000" w:sz="0" w:space="0"/>
          <w:bottom w:val="none" w:color="000000" w:sz="0" w:space="0"/>
          <w:right w:val="none" w:color="000000" w:sz="0" w:space="0"/>
        </w:pBdr>
        <w:spacing w:before="240" w:after="240" w:line="276" w:lineRule="auto"/>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w:t>
      </w:r>
    </w:p>
    <w:p w14:paraId="6FC2B799">
      <w:pPr>
        <w:widowControl/>
        <w:pBdr>
          <w:top w:val="none" w:color="000000" w:sz="0" w:space="0"/>
          <w:left w:val="none" w:color="000000" w:sz="0" w:space="0"/>
          <w:bottom w:val="none" w:color="000000" w:sz="0" w:space="0"/>
          <w:right w:val="none" w:color="000000" w:sz="0" w:space="0"/>
        </w:pBdr>
        <w:spacing w:before="240" w:after="240" w:line="276" w:lineRule="auto"/>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w:t>
      </w:r>
    </w:p>
    <w:p w14:paraId="483FFA48">
      <w:pPr>
        <w:widowControl/>
        <w:pBdr>
          <w:top w:val="none" w:color="000000" w:sz="0" w:space="0"/>
          <w:left w:val="none" w:color="000000" w:sz="0" w:space="0"/>
          <w:bottom w:val="none" w:color="000000" w:sz="0" w:space="0"/>
          <w:right w:val="none" w:color="000000" w:sz="0" w:space="0"/>
        </w:pBdr>
        <w:spacing w:before="240" w:after="240" w:line="276" w:lineRule="auto"/>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w:t>
      </w:r>
    </w:p>
    <w:p w14:paraId="33A8BBD1">
      <w:pPr>
        <w:widowControl/>
        <w:pBdr>
          <w:top w:val="none" w:color="000000" w:sz="0" w:space="0"/>
          <w:left w:val="none" w:color="000000" w:sz="0" w:space="0"/>
          <w:bottom w:val="none" w:color="000000" w:sz="0" w:space="0"/>
          <w:right w:val="none" w:color="000000" w:sz="0" w:space="0"/>
        </w:pBdr>
        <w:spacing w:before="240" w:after="240" w:line="276" w:lineRule="auto"/>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w:t>
      </w:r>
    </w:p>
    <w:p w14:paraId="7717C9C2">
      <w:pPr>
        <w:widowControl/>
        <w:pBdr>
          <w:top w:val="none" w:color="000000" w:sz="0" w:space="0"/>
          <w:left w:val="none" w:color="000000" w:sz="0" w:space="0"/>
          <w:bottom w:val="none" w:color="000000" w:sz="0" w:space="0"/>
          <w:right w:val="none" w:color="000000" w:sz="0" w:space="0"/>
        </w:pBdr>
        <w:spacing w:before="240" w:after="240" w:line="276" w:lineRule="auto"/>
        <w:ind w:firstLine="440"/>
        <w:jc w:val="center"/>
        <w:rPr>
          <w:rFonts w:ascii="Arial" w:hAnsi="Arial" w:eastAsia="Arial" w:cs="Times New Roman"/>
          <w:color w:val="auto"/>
          <w:kern w:val="0"/>
          <w:sz w:val="22"/>
          <w:highlight w:val="none"/>
        </w:rPr>
      </w:pPr>
      <w:r>
        <w:rPr>
          <w:rFonts w:ascii="Arial" w:hAnsi="Arial" w:eastAsia="Arial" w:cs="Times New Roman"/>
          <w:color w:val="auto"/>
          <w:kern w:val="0"/>
          <w:sz w:val="22"/>
          <w:highlight w:val="none"/>
        </w:rPr>
        <w:br w:type="page" w:clear="all"/>
      </w:r>
    </w:p>
    <w:p w14:paraId="00D0E685">
      <w:pPr>
        <w:widowControl/>
        <w:numPr>
          <w:ilvl w:val="0"/>
          <w:numId w:val="2"/>
        </w:numPr>
        <w:pBdr>
          <w:top w:val="none" w:color="000000" w:sz="0" w:space="0"/>
          <w:left w:val="none" w:color="000000" w:sz="0" w:space="0"/>
          <w:bottom w:val="none" w:color="000000" w:sz="0" w:space="0"/>
          <w:right w:val="none" w:color="000000" w:sz="0" w:space="0"/>
        </w:pBdr>
        <w:spacing w:before="240" w:after="240" w:line="276" w:lineRule="auto"/>
        <w:ind w:firstLine="883"/>
        <w:jc w:val="center"/>
        <w:rPr>
          <w:rFonts w:hint="eastAsia" w:ascii="宋体" w:hAnsi="宋体" w:cs="宋体"/>
          <w:b/>
          <w:color w:val="auto"/>
          <w:kern w:val="0"/>
          <w:sz w:val="44"/>
          <w:highlight w:val="none"/>
        </w:rPr>
      </w:pPr>
      <w:r>
        <w:rPr>
          <w:rFonts w:hint="eastAsia" w:ascii="宋体" w:hAnsi="宋体" w:cs="宋体"/>
          <w:b/>
          <w:color w:val="auto"/>
          <w:kern w:val="0"/>
          <w:sz w:val="44"/>
          <w:highlight w:val="none"/>
        </w:rPr>
        <w:t xml:space="preserve">  单一来源采购邀请函</w:t>
      </w:r>
    </w:p>
    <w:p w14:paraId="0493263B">
      <w:pPr>
        <w:spacing w:after="200" w:line="276" w:lineRule="auto"/>
        <w:ind w:firstLine="360"/>
        <w:rPr>
          <w:rFonts w:ascii="宋体" w:hAnsi="Arial" w:eastAsia="Arial" w:cs="Times New Roman"/>
          <w:color w:val="auto"/>
          <w:sz w:val="18"/>
          <w:szCs w:val="18"/>
          <w:highlight w:val="none"/>
        </w:rPr>
      </w:pPr>
    </w:p>
    <w:p w14:paraId="5B3C6825">
      <w:pPr>
        <w:widowControl/>
        <w:pBdr>
          <w:top w:val="none" w:color="000000" w:sz="0" w:space="0"/>
          <w:left w:val="none" w:color="000000" w:sz="0" w:space="0"/>
          <w:bottom w:val="none" w:color="000000" w:sz="0" w:space="0"/>
          <w:right w:val="none" w:color="000000" w:sz="0" w:space="0"/>
        </w:pBdr>
        <w:spacing w:line="480" w:lineRule="atLeas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江苏太仓港电子口岸有限公司</w:t>
      </w:r>
      <w:r>
        <w:rPr>
          <w:rFonts w:hint="eastAsia" w:ascii="仿宋" w:hAnsi="仿宋" w:eastAsia="仿宋" w:cs="仿宋"/>
          <w:color w:val="auto"/>
          <w:kern w:val="0"/>
          <w:szCs w:val="24"/>
          <w:highlight w:val="none"/>
        </w:rPr>
        <w:t>：</w:t>
      </w:r>
    </w:p>
    <w:tbl>
      <w:tblPr>
        <w:tblStyle w:val="25"/>
        <w:tblW w:w="8484"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8484"/>
      </w:tblGrid>
      <w:tr w14:paraId="4747BF9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6" w:hRule="atLeast"/>
        </w:trPr>
        <w:tc>
          <w:tcPr>
            <w:tcW w:w="8484"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337DDF4">
            <w:pPr>
              <w:widowControl/>
              <w:pBdr>
                <w:top w:val="none" w:color="000000" w:sz="0" w:space="0"/>
                <w:left w:val="none" w:color="000000" w:sz="0" w:space="0"/>
                <w:bottom w:val="none" w:color="000000" w:sz="0" w:space="0"/>
                <w:right w:val="none" w:color="000000" w:sz="0" w:space="0"/>
              </w:pBdr>
              <w:spacing w:line="480" w:lineRule="atLeas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项目概况</w:t>
            </w:r>
          </w:p>
          <w:p w14:paraId="65838FA9">
            <w:pPr>
              <w:widowControl/>
              <w:pBdr>
                <w:top w:val="none" w:color="000000" w:sz="0" w:space="0"/>
                <w:left w:val="none" w:color="000000" w:sz="0" w:space="0"/>
                <w:bottom w:val="none" w:color="000000" w:sz="0" w:space="0"/>
                <w:right w:val="none" w:color="000000" w:sz="0" w:space="0"/>
              </w:pBdr>
              <w:spacing w:line="480" w:lineRule="atLeas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苏州港船舶服务平台改造 </w:t>
            </w:r>
            <w:r>
              <w:rPr>
                <w:rFonts w:hint="eastAsia" w:ascii="仿宋" w:hAnsi="仿宋" w:eastAsia="仿宋" w:cs="仿宋"/>
                <w:color w:val="auto"/>
                <w:kern w:val="0"/>
                <w:szCs w:val="24"/>
                <w:highlight w:val="none"/>
                <w:lang w:eastAsia="zh-CN"/>
              </w:rPr>
              <w:t>JSZC-320585-JZCG-D2025-0129</w:t>
            </w:r>
            <w:r>
              <w:rPr>
                <w:rFonts w:hint="eastAsia" w:ascii="仿宋" w:hAnsi="仿宋" w:eastAsia="仿宋" w:cs="仿宋"/>
                <w:color w:val="auto"/>
                <w:kern w:val="0"/>
                <w:szCs w:val="24"/>
                <w:highlight w:val="none"/>
              </w:rPr>
              <w:t>招标项目的潜在投标人应在“苏采云”系统（网址：http://jszfcg.jsczt.cn/）自行下载 获取招标文件，并于2025-</w:t>
            </w:r>
            <w:r>
              <w:rPr>
                <w:rFonts w:hint="eastAsia" w:ascii="仿宋" w:hAnsi="仿宋" w:eastAsia="仿宋" w:cs="仿宋"/>
                <w:color w:val="auto"/>
                <w:kern w:val="0"/>
                <w:szCs w:val="24"/>
                <w:highlight w:val="none"/>
                <w:lang w:val="en-US" w:eastAsia="zh-CN"/>
              </w:rPr>
              <w:t>11</w:t>
            </w:r>
            <w:r>
              <w:rPr>
                <w:rFonts w:hint="eastAsia" w:ascii="仿宋" w:hAnsi="仿宋" w:eastAsia="仿宋" w:cs="仿宋"/>
                <w:color w:val="auto"/>
                <w:kern w:val="0"/>
                <w:szCs w:val="24"/>
                <w:highlight w:val="none"/>
              </w:rPr>
              <w:t>-12 09:30 （北京时间）前递交投标文件。</w:t>
            </w:r>
          </w:p>
        </w:tc>
      </w:tr>
    </w:tbl>
    <w:p w14:paraId="24C09A74">
      <w:pPr>
        <w:shd w:val="clear" w:color="auto" w:fill="FFFFFF"/>
        <w:spacing w:line="480" w:lineRule="exact"/>
        <w:ind w:firstLine="0" w:firstLineChars="0"/>
        <w:outlineLvl w:val="1"/>
        <w:rPr>
          <w:rFonts w:hint="eastAsia" w:ascii="宋体" w:hAnsi="宋体" w:cs="宋体"/>
          <w:color w:val="auto"/>
          <w:sz w:val="34"/>
          <w:highlight w:val="none"/>
        </w:rPr>
      </w:pPr>
      <w:r>
        <w:rPr>
          <w:rFonts w:ascii="黑体" w:hAnsi="宋体" w:eastAsia="黑体" w:cs="黑体"/>
          <w:b/>
          <w:color w:val="auto"/>
          <w:sz w:val="28"/>
          <w:szCs w:val="28"/>
          <w:highlight w:val="none"/>
          <w:shd w:val="clear" w:color="auto" w:fill="FFFFFF"/>
        </w:rPr>
        <w:t>一、项目基本情况</w:t>
      </w:r>
    </w:p>
    <w:p w14:paraId="0DE97209">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lang w:eastAsia="zh-CN"/>
        </w:rPr>
      </w:pPr>
      <w:bookmarkStart w:id="2" w:name="OLE_LINK6"/>
      <w:r>
        <w:rPr>
          <w:rFonts w:hint="eastAsia" w:ascii="仿宋" w:hAnsi="仿宋" w:eastAsia="仿宋" w:cs="仿宋"/>
          <w:color w:val="auto"/>
          <w:kern w:val="0"/>
          <w:szCs w:val="24"/>
          <w:highlight w:val="none"/>
        </w:rPr>
        <w:t>项目编号：</w:t>
      </w:r>
      <w:r>
        <w:rPr>
          <w:rFonts w:hint="eastAsia" w:ascii="仿宋" w:hAnsi="仿宋" w:eastAsia="仿宋" w:cs="仿宋"/>
          <w:color w:val="auto"/>
          <w:kern w:val="0"/>
          <w:szCs w:val="24"/>
          <w:highlight w:val="none"/>
          <w:lang w:eastAsia="zh-CN"/>
        </w:rPr>
        <w:t>JSZC-320585-JZCG-D2025-0129</w:t>
      </w:r>
    </w:p>
    <w:p w14:paraId="25DB6BD1">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项目名称：苏州港船舶服务平台改造 </w:t>
      </w:r>
    </w:p>
    <w:p w14:paraId="0725EA7C">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预算金额：15.3 万元 </w:t>
      </w:r>
    </w:p>
    <w:p w14:paraId="6463A608">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最高限价（如有）：15.3万元</w:t>
      </w:r>
    </w:p>
    <w:p w14:paraId="5F78F38A">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采购方式：单一来源 </w:t>
      </w:r>
    </w:p>
    <w:bookmarkEnd w:id="2"/>
    <w:p w14:paraId="4C907543">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rPr>
        <w:t>采购需求：</w:t>
      </w:r>
      <w:r>
        <w:rPr>
          <w:rFonts w:hint="eastAsia" w:ascii="仿宋" w:hAnsi="仿宋" w:eastAsia="仿宋" w:cs="仿宋"/>
          <w:color w:val="auto"/>
          <w:kern w:val="0"/>
          <w:szCs w:val="24"/>
          <w:highlight w:val="none"/>
          <w:lang w:val="en-US" w:eastAsia="zh-CN"/>
        </w:rPr>
        <w:t>根据相关要求</w:t>
      </w:r>
      <w:r>
        <w:rPr>
          <w:rFonts w:hint="eastAsia" w:ascii="仿宋" w:hAnsi="仿宋" w:eastAsia="仿宋" w:cs="仿宋"/>
          <w:color w:val="auto"/>
          <w:kern w:val="0"/>
          <w:szCs w:val="24"/>
          <w:highlight w:val="none"/>
          <w:lang w:val="en-US" w:eastAsia="zh-CN"/>
        </w:rPr>
        <w:t>，对苏州港船舶服务平台开展国产化改造工作。一是需迁移至苏州市政务云环境，实现政务资源集约化管理；二是数据库需替换为国产达梦数据库，符合</w:t>
      </w:r>
      <w:r>
        <w:rPr>
          <w:rFonts w:hint="eastAsia" w:ascii="仿宋" w:hAnsi="仿宋" w:eastAsia="仿宋" w:cs="仿宋"/>
          <w:color w:val="auto"/>
          <w:kern w:val="0"/>
          <w:szCs w:val="24"/>
          <w:highlight w:val="none"/>
          <w:lang w:val="en-US" w:eastAsia="zh-CN"/>
        </w:rPr>
        <w:t>国产化改造安全规范</w:t>
      </w:r>
      <w:r>
        <w:rPr>
          <w:rFonts w:hint="eastAsia" w:ascii="仿宋" w:hAnsi="仿宋" w:eastAsia="仿宋" w:cs="仿宋"/>
          <w:color w:val="auto"/>
          <w:kern w:val="0"/>
          <w:szCs w:val="24"/>
          <w:highlight w:val="none"/>
          <w:lang w:val="en-US" w:eastAsia="zh-CN"/>
        </w:rPr>
        <w:t>；三是系统中部分基于.NET 开发的功能模块与现有 Java 技术体系存在兼容性差异，需改造为 Java 技术栈，保障系统架构一致性与可维护性。通过本次改造，可解决系统技术栈异构、数据库非国产化、部署环境分散等问题，提升系统安全性、稳定性与合规性，为苏州港智慧化管理提供可靠技术支撑。</w:t>
      </w:r>
    </w:p>
    <w:p w14:paraId="24D06440">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具体内容详见第三部分项目需求。</w:t>
      </w:r>
    </w:p>
    <w:p w14:paraId="443B8DB6">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highlight w:val="none"/>
          <w:shd w:val="clear" w:color="auto" w:fill="FFFFFF"/>
        </w:rPr>
      </w:pPr>
      <w:r>
        <w:rPr>
          <w:rFonts w:hint="eastAsia" w:ascii="仿宋" w:hAnsi="仿宋" w:eastAsia="仿宋" w:cs="仿宋"/>
          <w:color w:val="auto"/>
          <w:kern w:val="0"/>
          <w:szCs w:val="24"/>
          <w:highlight w:val="none"/>
        </w:rPr>
        <w:t>合同履行期限：</w:t>
      </w:r>
      <w:r>
        <w:rPr>
          <w:rFonts w:hint="eastAsia" w:ascii="仿宋" w:hAnsi="仿宋" w:eastAsia="仿宋" w:cs="仿宋"/>
          <w:color w:val="auto"/>
          <w:highlight w:val="none"/>
          <w:shd w:val="clear" w:color="auto" w:fill="FFFFFF"/>
        </w:rPr>
        <w:t>自签订合同</w:t>
      </w:r>
      <w:r>
        <w:rPr>
          <w:rFonts w:hint="eastAsia" w:ascii="仿宋" w:hAnsi="仿宋" w:eastAsia="仿宋" w:cs="仿宋"/>
          <w:color w:val="auto"/>
          <w:highlight w:val="none"/>
          <w:shd w:val="clear" w:color="auto" w:fill="FFFFFF"/>
        </w:rPr>
        <w:t>之日起，</w:t>
      </w:r>
      <w:r>
        <w:rPr>
          <w:rFonts w:hint="eastAsia" w:ascii="仿宋" w:hAnsi="仿宋" w:eastAsia="仿宋" w:cs="仿宋"/>
          <w:color w:val="auto"/>
          <w:highlight w:val="none"/>
          <w:shd w:val="clear" w:color="auto" w:fill="FFFFFF"/>
          <w:lang w:val="en-US" w:eastAsia="zh-CN"/>
        </w:rPr>
        <w:t>2</w:t>
      </w:r>
      <w:r>
        <w:rPr>
          <w:rFonts w:hint="eastAsia" w:ascii="仿宋" w:hAnsi="仿宋" w:eastAsia="仿宋" w:cs="仿宋"/>
          <w:color w:val="auto"/>
          <w:highlight w:val="none"/>
          <w:shd w:val="clear" w:color="auto" w:fill="FFFFFF"/>
        </w:rPr>
        <w:t>个月内完成交付。</w:t>
      </w:r>
    </w:p>
    <w:p w14:paraId="6F70E3A9">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本项目（是/否）接受联合体投标：不接受联合体</w:t>
      </w:r>
    </w:p>
    <w:p w14:paraId="3AA85A51">
      <w:pPr>
        <w:spacing w:line="480" w:lineRule="exact"/>
        <w:ind w:firstLine="0" w:firstLineChars="0"/>
        <w:outlineLvl w:val="1"/>
        <w:rPr>
          <w:rFonts w:ascii="Arial" w:hAnsi="Arial" w:eastAsia="Arial" w:cs="Arial"/>
          <w:color w:val="auto"/>
          <w:sz w:val="34"/>
          <w:highlight w:val="none"/>
        </w:rPr>
      </w:pPr>
      <w:r>
        <w:rPr>
          <w:rFonts w:hint="eastAsia" w:ascii="黑体" w:hAnsi="宋体" w:eastAsia="黑体" w:cs="黑体"/>
          <w:b/>
          <w:color w:val="auto"/>
          <w:sz w:val="28"/>
          <w:szCs w:val="28"/>
          <w:highlight w:val="none"/>
          <w:shd w:val="clear" w:color="auto" w:fill="FFFFFF"/>
        </w:rPr>
        <w:t>二、申请人的资格要求</w:t>
      </w:r>
    </w:p>
    <w:p w14:paraId="2F612F39">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（一）满足《中华人民共和国政府采购法》第二十二条规定；</w:t>
      </w:r>
    </w:p>
    <w:p w14:paraId="53A4DD55">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1.具有独立承担民事责任的能力证明。包括法人或者其他组织的营业执照等证明文件，自然人的身份证明；</w:t>
      </w:r>
    </w:p>
    <w:p w14:paraId="1FC573EB">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2.具有良好的商业信誉和健全的财务会计制度证明。</w:t>
      </w:r>
    </w:p>
    <w:p w14:paraId="33DCF370">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3.具备履行合同所必需的设备和专业技术能力的证明材料或承诺；</w:t>
      </w:r>
    </w:p>
    <w:p w14:paraId="205B77A2">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4.依法缴纳税收和社会保障资金的相关资料；</w:t>
      </w:r>
    </w:p>
    <w:p w14:paraId="7E9A5752">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5.参加政府采购活动前三年内在经营活动中没有重大违法记录的书面声明函；</w:t>
      </w:r>
    </w:p>
    <w:p w14:paraId="72D66DFD">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6.法律、行政法规规定的其他条件</w:t>
      </w:r>
    </w:p>
    <w:p w14:paraId="0A2056C4">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bookmarkStart w:id="3" w:name="OLE_LINK3"/>
      <w:r>
        <w:rPr>
          <w:rFonts w:hint="eastAsia" w:ascii="仿宋" w:hAnsi="仿宋" w:eastAsia="仿宋" w:cs="仿宋"/>
          <w:color w:val="auto"/>
          <w:kern w:val="0"/>
          <w:szCs w:val="24"/>
          <w:highlight w:val="none"/>
        </w:rPr>
        <w:t>（二）</w:t>
      </w:r>
      <w:bookmarkEnd w:id="3"/>
      <w:r>
        <w:rPr>
          <w:rFonts w:hint="eastAsia" w:ascii="仿宋" w:hAnsi="仿宋" w:eastAsia="仿宋" w:cs="仿宋"/>
          <w:color w:val="auto"/>
          <w:kern w:val="0"/>
          <w:szCs w:val="24"/>
          <w:highlight w:val="none"/>
        </w:rPr>
        <w:t>落实政府采购政策需满足的资格要求：</w:t>
      </w:r>
    </w:p>
    <w:p w14:paraId="09BA1F9E">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highlight w:val="none"/>
          <w:shd w:val="clear" w:color="auto" w:fill="FFFFFF"/>
        </w:rPr>
        <w:t>本项目专门面向中小企业采购，投标人必须提供《中小企业声明函》或《残疾人福利性单位声明函》或由省级以上监狱管理局、戒毒管理局（含新疆生产建设兵团）出具的属于监狱企业的证明文件。</w:t>
      </w:r>
    </w:p>
    <w:p w14:paraId="42F634FB">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（三）本项目的特定资格要求：</w:t>
      </w:r>
    </w:p>
    <w:p w14:paraId="2A8EA2A0">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highlight w:val="none"/>
        </w:rPr>
      </w:pPr>
      <w:r>
        <w:rPr>
          <w:rFonts w:hint="eastAsia" w:ascii="仿宋" w:hAnsi="仿宋" w:eastAsia="仿宋" w:cs="仿宋"/>
          <w:color w:val="auto"/>
          <w:kern w:val="0"/>
          <w:szCs w:val="24"/>
          <w:highlight w:val="none"/>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w:t>
      </w:r>
      <w:r>
        <w:rPr>
          <w:rFonts w:hint="eastAsia" w:ascii="仿宋" w:hAnsi="仿宋" w:eastAsia="仿宋" w:cs="仿宋"/>
          <w:color w:val="auto"/>
          <w:kern w:val="0"/>
          <w:highlight w:val="none"/>
        </w:rPr>
        <w:t>行为记录名单的供应商，拒绝其参与政府采购活动</w:t>
      </w:r>
    </w:p>
    <w:p w14:paraId="11F9F2FE">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（四）拒绝下述供应商参加本次采购活动：</w:t>
      </w:r>
    </w:p>
    <w:p w14:paraId="0C6A53D0">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1、供应商单位负责人为同一人或者存在直接控股、管理关系的不同供应商，不得参加同一合同项下的政府采购活动。</w:t>
      </w:r>
    </w:p>
    <w:p w14:paraId="047C69BB">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2、凡为采购项目提供整体设计、规范编制或者项目管理、监理、检测等服务的供应商，不得再参加本项目的采购活动。</w:t>
      </w:r>
    </w:p>
    <w:p w14:paraId="7081FF84">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3、法人的分支机构不得参加投标（除银行、保险、石油石化、电力、电信等行业特殊情况外）</w:t>
      </w:r>
    </w:p>
    <w:p w14:paraId="367FFE76">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FD519C0">
      <w:pPr>
        <w:spacing w:line="480" w:lineRule="exact"/>
        <w:ind w:firstLine="0" w:firstLineChars="0"/>
        <w:outlineLvl w:val="1"/>
        <w:rPr>
          <w:rFonts w:ascii="Arial" w:hAnsi="Arial" w:eastAsia="Arial" w:cs="Arial"/>
          <w:color w:val="auto"/>
          <w:sz w:val="34"/>
          <w:highlight w:val="none"/>
        </w:rPr>
      </w:pPr>
      <w:r>
        <w:rPr>
          <w:rFonts w:hint="eastAsia" w:ascii="黑体" w:hAnsi="宋体" w:eastAsia="黑体" w:cs="黑体"/>
          <w:b/>
          <w:color w:val="auto"/>
          <w:sz w:val="28"/>
          <w:szCs w:val="28"/>
          <w:highlight w:val="none"/>
          <w:shd w:val="clear" w:color="auto" w:fill="FFFFFF"/>
        </w:rPr>
        <w:t>三、获取招标文件</w:t>
      </w:r>
    </w:p>
    <w:p w14:paraId="48C4B3F7">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自本公告发布之日起5个工作日</w:t>
      </w:r>
    </w:p>
    <w:p w14:paraId="6A5DA496">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地点：“苏采云”系统（网址：http://jszfcg.jsczt.cn/）自行下载 </w:t>
      </w:r>
    </w:p>
    <w:p w14:paraId="5B3CC86A">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方式：自行下载 </w:t>
      </w:r>
    </w:p>
    <w:p w14:paraId="595A32B7">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售价：0.00元 </w:t>
      </w:r>
    </w:p>
    <w:p w14:paraId="73536883">
      <w:pPr>
        <w:spacing w:line="480" w:lineRule="exact"/>
        <w:ind w:firstLine="0" w:firstLineChars="0"/>
        <w:outlineLvl w:val="1"/>
        <w:rPr>
          <w:rFonts w:ascii="Arial" w:hAnsi="Arial" w:eastAsia="Arial" w:cs="Arial"/>
          <w:color w:val="auto"/>
          <w:sz w:val="34"/>
          <w:highlight w:val="none"/>
        </w:rPr>
      </w:pPr>
      <w:r>
        <w:rPr>
          <w:rFonts w:hint="eastAsia" w:ascii="黑体" w:hAnsi="宋体" w:eastAsia="黑体" w:cs="黑体"/>
          <w:b/>
          <w:color w:val="auto"/>
          <w:sz w:val="28"/>
          <w:szCs w:val="28"/>
          <w:highlight w:val="none"/>
          <w:shd w:val="clear" w:color="auto" w:fill="FFFFFF"/>
        </w:rPr>
        <w:t>四、提交投标文件截止时间、开标时间和地点</w:t>
      </w:r>
    </w:p>
    <w:p w14:paraId="74437638">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2025-</w:t>
      </w:r>
      <w:r>
        <w:rPr>
          <w:rFonts w:hint="eastAsia" w:ascii="仿宋" w:hAnsi="仿宋" w:eastAsia="仿宋" w:cs="仿宋"/>
          <w:color w:val="auto"/>
          <w:kern w:val="0"/>
          <w:szCs w:val="24"/>
          <w:highlight w:val="none"/>
          <w:lang w:val="en-US" w:eastAsia="zh-CN"/>
        </w:rPr>
        <w:t>11</w:t>
      </w:r>
      <w:r>
        <w:rPr>
          <w:rFonts w:hint="eastAsia" w:ascii="仿宋" w:hAnsi="仿宋" w:eastAsia="仿宋" w:cs="仿宋"/>
          <w:color w:val="auto"/>
          <w:kern w:val="0"/>
          <w:szCs w:val="24"/>
          <w:highlight w:val="none"/>
        </w:rPr>
        <w:t>-</w:t>
      </w:r>
      <w:r>
        <w:rPr>
          <w:rFonts w:hint="eastAsia" w:ascii="仿宋" w:hAnsi="仿宋" w:eastAsia="仿宋" w:cs="仿宋"/>
          <w:color w:val="auto"/>
          <w:kern w:val="0"/>
          <w:szCs w:val="24"/>
          <w:highlight w:val="none"/>
          <w:lang w:val="en-US" w:eastAsia="zh-CN"/>
        </w:rPr>
        <w:t>12</w:t>
      </w:r>
      <w:r>
        <w:rPr>
          <w:rFonts w:hint="eastAsia" w:ascii="仿宋" w:hAnsi="仿宋" w:eastAsia="仿宋" w:cs="仿宋"/>
          <w:color w:val="auto"/>
          <w:kern w:val="0"/>
          <w:szCs w:val="24"/>
          <w:highlight w:val="none"/>
        </w:rPr>
        <w:t xml:space="preserve"> 09:30 （北京时间）</w:t>
      </w:r>
    </w:p>
    <w:p w14:paraId="46DBCC74">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地点：苏采云系统 </w:t>
      </w:r>
    </w:p>
    <w:p w14:paraId="7AA97676">
      <w:pPr>
        <w:shd w:val="clear" w:color="auto" w:fill="FFFFFF"/>
        <w:spacing w:line="480" w:lineRule="exact"/>
        <w:ind w:firstLine="0" w:firstLineChars="0"/>
        <w:outlineLvl w:val="1"/>
        <w:rPr>
          <w:rFonts w:hint="eastAsia" w:ascii="宋体" w:hAnsi="宋体" w:cs="宋体"/>
          <w:color w:val="auto"/>
          <w:sz w:val="34"/>
          <w:highlight w:val="none"/>
        </w:rPr>
      </w:pPr>
      <w:r>
        <w:rPr>
          <w:rFonts w:hint="eastAsia" w:ascii="黑体" w:hAnsi="宋体" w:eastAsia="黑体" w:cs="黑体"/>
          <w:b/>
          <w:color w:val="auto"/>
          <w:sz w:val="28"/>
          <w:szCs w:val="28"/>
          <w:highlight w:val="none"/>
          <w:shd w:val="clear" w:color="auto" w:fill="FFFFFF"/>
        </w:rPr>
        <w:t>五、公告期限</w:t>
      </w:r>
    </w:p>
    <w:p w14:paraId="0BC1D8AF">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自本公告发布之日起5个工作日。</w:t>
      </w:r>
    </w:p>
    <w:p w14:paraId="52F10B2D">
      <w:pPr>
        <w:spacing w:line="480" w:lineRule="exact"/>
        <w:ind w:firstLine="0" w:firstLineChars="0"/>
        <w:outlineLvl w:val="1"/>
        <w:rPr>
          <w:rFonts w:ascii="Arial" w:hAnsi="Arial" w:eastAsia="Arial" w:cs="Arial"/>
          <w:color w:val="auto"/>
          <w:sz w:val="34"/>
          <w:highlight w:val="none"/>
        </w:rPr>
      </w:pPr>
      <w:r>
        <w:rPr>
          <w:rFonts w:hint="eastAsia" w:ascii="黑体" w:hAnsi="宋体" w:eastAsia="黑体" w:cs="黑体"/>
          <w:b/>
          <w:color w:val="auto"/>
          <w:sz w:val="28"/>
          <w:szCs w:val="28"/>
          <w:highlight w:val="none"/>
          <w:shd w:val="clear" w:color="auto" w:fill="FFFFFF"/>
        </w:rPr>
        <w:t>六、其他补充事宜</w:t>
      </w:r>
    </w:p>
    <w:p w14:paraId="0855C630">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1、本项目需要使用CA数字证书制作、上传电子投标文件完成电子投标，请供应商在参加投标活动前办理好CA数字证书申领及电子签章等操作。</w:t>
      </w:r>
    </w:p>
    <w:p w14:paraId="132E38E8">
      <w:pPr>
        <w:widowControl/>
        <w:spacing w:line="480" w:lineRule="exact"/>
        <w:ind w:firstLine="0" w:firstLineChars="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19B9D74">
      <w:pPr>
        <w:widowControl/>
        <w:spacing w:line="480" w:lineRule="exact"/>
        <w:ind w:firstLine="0" w:firstLineChars="0"/>
        <w:rPr>
          <w:rFonts w:hint="eastAsia" w:ascii="仿宋" w:hAnsi="仿宋" w:eastAsia="仿宋" w:cs="仿宋"/>
          <w:color w:val="auto"/>
          <w:szCs w:val="24"/>
          <w:highlight w:val="none"/>
        </w:rPr>
      </w:pPr>
      <w:r>
        <w:rPr>
          <w:rFonts w:ascii="仿宋" w:hAnsi="仿宋" w:eastAsia="仿宋" w:cs="仿宋"/>
          <w:b/>
          <w:color w:val="auto"/>
          <w:szCs w:val="24"/>
          <w:highlight w:val="none"/>
        </w:rPr>
        <w:t>3</w:t>
      </w:r>
      <w:r>
        <w:rPr>
          <w:rFonts w:hint="eastAsia" w:ascii="仿宋" w:hAnsi="仿宋" w:eastAsia="仿宋" w:cs="仿宋"/>
          <w:b/>
          <w:color w:val="auto"/>
          <w:szCs w:val="24"/>
          <w:highlight w:val="none"/>
        </w:rPr>
        <w:t>、本项目采用不见面开标，投标人开标时无需到开标现场进行解密，采取网上开标大厅解密电子投标文件，投标人远程解密要求如下：</w:t>
      </w:r>
    </w:p>
    <w:p w14:paraId="5648366A">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1）投标人使用CA数字证书进行远程解密，解密的CA数字证书与生成加密电子投标文件时的CA数字证书需为同一个CA数字证书，否则无法解密，造成的后果由投标人自行负责。</w:t>
      </w:r>
    </w:p>
    <w:p w14:paraId="69E68242">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2）投标人登录苏采云系统，点击开标大厅，选择开标项目，完成不见面开标流程。</w:t>
      </w:r>
    </w:p>
    <w:p w14:paraId="647B0F6C">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3）投标截止时间后根据系统提示解密电子投标文件。</w:t>
      </w:r>
      <w:r>
        <w:rPr>
          <w:rFonts w:hint="eastAsia" w:ascii="仿宋" w:hAnsi="仿宋" w:eastAsia="仿宋" w:cs="仿宋"/>
          <w:b/>
          <w:color w:val="auto"/>
          <w:szCs w:val="24"/>
          <w:highlight w:val="none"/>
        </w:rPr>
        <w:t>解密时间为15分钟，</w:t>
      </w:r>
      <w:r>
        <w:rPr>
          <w:rFonts w:hint="eastAsia" w:ascii="仿宋" w:hAnsi="仿宋" w:eastAsia="仿宋" w:cs="仿宋"/>
          <w:color w:val="auto"/>
          <w:szCs w:val="24"/>
          <w:highlight w:val="none"/>
        </w:rPr>
        <w:t>未在规定时间内完成解密，其投标文件将被拒绝，不参与后续投标流程。</w:t>
      </w:r>
    </w:p>
    <w:p w14:paraId="63AF026A">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673EEE68">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4、</w:t>
      </w:r>
      <w:r>
        <w:rPr>
          <w:rFonts w:hint="eastAsia" w:ascii="仿宋" w:hAnsi="仿宋" w:eastAsia="仿宋" w:cs="仿宋"/>
          <w:b/>
          <w:color w:val="auto"/>
          <w:szCs w:val="24"/>
          <w:highlight w:val="none"/>
        </w:rPr>
        <w:t>有关苏采云系统驱动安装，</w:t>
      </w:r>
      <w:r>
        <w:rPr>
          <w:rFonts w:hint="eastAsia" w:ascii="仿宋" w:hAnsi="仿宋" w:eastAsia="仿宋" w:cs="仿宋"/>
          <w:color w:val="auto"/>
          <w:szCs w:val="24"/>
          <w:highlight w:val="none"/>
        </w:rPr>
        <w:t>登录苏州政府采购网，点击页面底部苏采云图标，进入苏采云政府采购一体化平台，点击“驱动下载”，下载</w:t>
      </w:r>
      <w:r>
        <w:rPr>
          <w:rFonts w:hint="eastAsia" w:ascii="仿宋" w:hAnsi="仿宋" w:eastAsia="仿宋" w:cs="仿宋"/>
          <w:b/>
          <w:color w:val="auto"/>
          <w:szCs w:val="24"/>
          <w:highlight w:val="none"/>
        </w:rPr>
        <w:t>“政务CA、方正签章控件驱动安装包及安装说明”</w:t>
      </w:r>
      <w:r>
        <w:rPr>
          <w:rFonts w:hint="eastAsia" w:ascii="仿宋" w:hAnsi="仿宋" w:eastAsia="仿宋" w:cs="仿宋"/>
          <w:color w:val="auto"/>
          <w:szCs w:val="24"/>
          <w:highlight w:val="none"/>
        </w:rPr>
        <w:t>文件，按要求安装驱动。</w:t>
      </w:r>
    </w:p>
    <w:p w14:paraId="5F4D413D">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5、</w:t>
      </w:r>
      <w:r>
        <w:rPr>
          <w:rFonts w:hint="eastAsia" w:ascii="仿宋" w:hAnsi="仿宋" w:eastAsia="仿宋" w:cs="仿宋"/>
          <w:b/>
          <w:color w:val="auto"/>
          <w:szCs w:val="24"/>
          <w:highlight w:val="none"/>
        </w:rPr>
        <w:t>有关供应商注册、报名、下载电子招标文件、制作上传电子投标文件</w:t>
      </w:r>
      <w:r>
        <w:rPr>
          <w:rFonts w:hint="eastAsia" w:ascii="仿宋" w:hAnsi="仿宋" w:eastAsia="仿宋" w:cs="仿宋"/>
          <w:color w:val="auto"/>
          <w:szCs w:val="24"/>
          <w:highlight w:val="none"/>
        </w:rPr>
        <w:t>、不见面开标及其他注意事项登录苏州政府采购网，在“下载中心”栏目下载“</w:t>
      </w:r>
      <w:r>
        <w:rPr>
          <w:rFonts w:hint="eastAsia" w:ascii="仿宋" w:hAnsi="仿宋" w:eastAsia="仿宋" w:cs="仿宋"/>
          <w:b/>
          <w:color w:val="auto"/>
          <w:szCs w:val="24"/>
          <w:highlight w:val="none"/>
        </w:rPr>
        <w:t>苏采云系统供应商操作</w:t>
      </w:r>
      <w:r>
        <w:rPr>
          <w:rFonts w:hint="eastAsia" w:ascii="仿宋" w:hAnsi="仿宋" w:eastAsia="仿宋" w:cs="仿宋"/>
          <w:b/>
          <w:bCs/>
          <w:color w:val="auto"/>
          <w:szCs w:val="24"/>
          <w:highlight w:val="none"/>
        </w:rPr>
        <w:t>手册</w:t>
      </w:r>
      <w:r>
        <w:rPr>
          <w:rFonts w:hint="eastAsia" w:ascii="仿宋" w:hAnsi="仿宋" w:eastAsia="仿宋" w:cs="仿宋"/>
          <w:color w:val="auto"/>
          <w:szCs w:val="24"/>
          <w:highlight w:val="none"/>
        </w:rPr>
        <w:t>”查阅。</w:t>
      </w:r>
    </w:p>
    <w:p w14:paraId="2CA488E5">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6、有关办理CA数字申领及电子签章事项，登录苏州政府采购网，点击页面底部苏采云图标，进入苏采云政府采购一体化平台，下载“新CA办理指南”文件查阅。</w:t>
      </w:r>
    </w:p>
    <w:p w14:paraId="16AC0F5F">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7、有关电子投标制作技术疑问，请咨询苏采云软件公司客服：18261002950、0512-69820854、0519-86722802</w:t>
      </w:r>
    </w:p>
    <w:p w14:paraId="40C2B186">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8、政府采购监督电话：0512-53512539</w:t>
      </w:r>
    </w:p>
    <w:p w14:paraId="7B8B1043">
      <w:pPr>
        <w:widowControl/>
        <w:spacing w:line="480" w:lineRule="exact"/>
        <w:ind w:firstLine="0" w:firstLineChars="0"/>
        <w:rPr>
          <w:rFonts w:hint="eastAsia" w:ascii="仿宋" w:hAnsi="仿宋" w:eastAsia="仿宋" w:cs="仿宋"/>
          <w:color w:val="auto"/>
          <w:szCs w:val="24"/>
          <w:highlight w:val="none"/>
        </w:rPr>
      </w:pPr>
      <w:r>
        <w:rPr>
          <w:rFonts w:hint="eastAsia" w:ascii="仿宋" w:hAnsi="仿宋" w:eastAsia="仿宋" w:cs="仿宋"/>
          <w:color w:val="auto"/>
          <w:szCs w:val="24"/>
          <w:highlight w:val="none"/>
        </w:rPr>
        <w:t>9、本次招标投标保证金：本项目无须缴纳投标保证金。</w:t>
      </w:r>
    </w:p>
    <w:p w14:paraId="1DCDE809">
      <w:pPr>
        <w:spacing w:line="480" w:lineRule="exact"/>
        <w:ind w:firstLine="0" w:firstLineChars="0"/>
        <w:outlineLvl w:val="1"/>
        <w:rPr>
          <w:rFonts w:hint="eastAsia" w:ascii="仿宋" w:hAnsi="仿宋" w:eastAsia="仿宋" w:cs="仿宋"/>
          <w:color w:val="auto"/>
          <w:szCs w:val="24"/>
          <w:highlight w:val="none"/>
        </w:rPr>
      </w:pPr>
      <w:r>
        <w:rPr>
          <w:rFonts w:hint="eastAsia" w:ascii="仿宋" w:hAnsi="仿宋" w:eastAsia="仿宋" w:cs="仿宋"/>
          <w:color w:val="auto"/>
          <w:szCs w:val="24"/>
          <w:highlight w:val="none"/>
        </w:rPr>
        <w:t>10、政府采购信用融资政策：中标供应商可凭政府采购合同办理融资贷款，详情请见江苏政府采购网“政采贷”专栏。</w:t>
      </w:r>
      <w:r>
        <w:rPr>
          <w:rFonts w:hint="eastAsia" w:ascii="仿宋" w:hAnsi="仿宋" w:eastAsia="仿宋" w:cs="仿宋"/>
          <w:color w:val="auto"/>
          <w:szCs w:val="24"/>
          <w:highlight w:val="none"/>
        </w:rPr>
        <w:br w:type="textWrapping"/>
      </w:r>
      <w:r>
        <w:rPr>
          <w:rFonts w:hint="eastAsia" w:ascii="仿宋" w:hAnsi="仿宋" w:eastAsia="仿宋" w:cs="仿宋"/>
          <w:color w:val="auto"/>
          <w:szCs w:val="24"/>
          <w:highlight w:val="none"/>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6473DF6B">
      <w:pPr>
        <w:spacing w:line="480" w:lineRule="exact"/>
        <w:ind w:firstLine="0" w:firstLineChars="0"/>
        <w:outlineLvl w:val="1"/>
        <w:rPr>
          <w:rFonts w:ascii="Arial" w:hAnsi="Arial" w:eastAsia="Arial" w:cs="Arial"/>
          <w:color w:val="auto"/>
          <w:sz w:val="34"/>
          <w:highlight w:val="none"/>
        </w:rPr>
      </w:pPr>
      <w:r>
        <w:rPr>
          <w:rFonts w:hint="eastAsia" w:ascii="黑体" w:hAnsi="宋体" w:eastAsia="黑体" w:cs="黑体"/>
          <w:b/>
          <w:color w:val="auto"/>
          <w:sz w:val="28"/>
          <w:szCs w:val="28"/>
          <w:highlight w:val="none"/>
          <w:shd w:val="clear" w:color="auto" w:fill="FFFFFF"/>
        </w:rPr>
        <w:t>七、对本次招标提出询问，请按以下方式联系</w:t>
      </w:r>
    </w:p>
    <w:p w14:paraId="15A152C3">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1.采购人信息 </w:t>
      </w:r>
    </w:p>
    <w:p w14:paraId="43C4D288">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default"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rPr>
        <w:t>单位名称：</w:t>
      </w:r>
      <w:r>
        <w:rPr>
          <w:rFonts w:hint="eastAsia" w:ascii="仿宋" w:hAnsi="仿宋" w:eastAsia="仿宋" w:cs="仿宋"/>
          <w:color w:val="auto"/>
          <w:kern w:val="0"/>
          <w:szCs w:val="24"/>
          <w:highlight w:val="none"/>
          <w:lang w:val="en-US" w:eastAsia="zh-CN"/>
        </w:rPr>
        <w:t>江苏太仓港口管理委员会</w:t>
      </w:r>
    </w:p>
    <w:p w14:paraId="693E5D37">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单位地址：</w:t>
      </w:r>
      <w:r>
        <w:rPr>
          <w:rFonts w:hint="eastAsia" w:ascii="仿宋" w:hAnsi="仿宋" w:eastAsia="仿宋" w:cs="仿宋"/>
          <w:color w:val="auto"/>
          <w:kern w:val="0"/>
          <w:szCs w:val="24"/>
          <w:highlight w:val="none"/>
          <w:lang w:val="en-US" w:eastAsia="zh-CN"/>
        </w:rPr>
        <w:t>太仓市浮桥镇北环路8号港务大楼</w:t>
      </w:r>
    </w:p>
    <w:p w14:paraId="31E105D3">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联系人：</w:t>
      </w:r>
      <w:r>
        <w:rPr>
          <w:rFonts w:hint="eastAsia" w:ascii="仿宋" w:hAnsi="仿宋" w:eastAsia="仿宋" w:cs="仿宋"/>
          <w:color w:val="auto"/>
          <w:kern w:val="0"/>
          <w:szCs w:val="24"/>
          <w:highlight w:val="none"/>
          <w:lang w:val="en-US" w:eastAsia="zh-CN"/>
        </w:rPr>
        <w:t>张亮</w:t>
      </w:r>
      <w:r>
        <w:rPr>
          <w:rFonts w:hint="eastAsia" w:ascii="仿宋" w:hAnsi="仿宋" w:eastAsia="仿宋" w:cs="仿宋"/>
          <w:color w:val="auto"/>
          <w:kern w:val="0"/>
          <w:szCs w:val="24"/>
          <w:highlight w:val="none"/>
        </w:rPr>
        <w:t> </w:t>
      </w:r>
    </w:p>
    <w:p w14:paraId="44112861">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联系电话 ：</w:t>
      </w:r>
      <w:r>
        <w:rPr>
          <w:rFonts w:hint="eastAsia" w:ascii="仿宋" w:hAnsi="仿宋" w:eastAsia="仿宋" w:cs="仿宋"/>
          <w:color w:val="auto"/>
          <w:kern w:val="0"/>
          <w:szCs w:val="24"/>
          <w:highlight w:val="none"/>
          <w:lang w:val="en-US" w:eastAsia="zh-CN"/>
        </w:rPr>
        <w:t>0512-53186100</w:t>
      </w:r>
    </w:p>
    <w:p w14:paraId="0A9BB22A">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2.采购代理机构信息（如有）</w:t>
      </w:r>
    </w:p>
    <w:p w14:paraId="449067D7">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单位名称：</w:t>
      </w:r>
      <w:r>
        <w:rPr>
          <w:rFonts w:hint="eastAsia" w:ascii="仿宋" w:hAnsi="仿宋" w:eastAsia="仿宋" w:cs="仿宋"/>
          <w:color w:val="auto"/>
          <w:kern w:val="0"/>
          <w:szCs w:val="24"/>
          <w:highlight w:val="none"/>
        </w:rPr>
        <w:t>苏州市公共资源交易中心太仓分中心</w:t>
      </w:r>
    </w:p>
    <w:p w14:paraId="5F180A13">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单位地址：</w:t>
      </w:r>
      <w:r>
        <w:rPr>
          <w:rFonts w:hint="eastAsia" w:ascii="仿宋" w:hAnsi="仿宋" w:eastAsia="仿宋" w:cs="仿宋"/>
          <w:color w:val="auto"/>
          <w:kern w:val="0"/>
          <w:szCs w:val="24"/>
          <w:highlight w:val="none"/>
        </w:rPr>
        <w:t>太仓市陆渡街道万金北路88号3栋2楼</w:t>
      </w:r>
    </w:p>
    <w:p w14:paraId="766840DA">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联系人：</w:t>
      </w:r>
      <w:r>
        <w:rPr>
          <w:rFonts w:hint="eastAsia" w:ascii="仿宋" w:hAnsi="仿宋" w:eastAsia="仿宋" w:cs="仿宋"/>
          <w:color w:val="auto"/>
          <w:kern w:val="0"/>
          <w:szCs w:val="24"/>
          <w:highlight w:val="none"/>
          <w:lang w:val="en-US" w:eastAsia="zh-CN"/>
        </w:rPr>
        <w:t>冯晔</w:t>
      </w:r>
    </w:p>
    <w:p w14:paraId="6AFA8B39">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联系电话：</w:t>
      </w:r>
      <w:bookmarkStart w:id="4" w:name="OLE_LINK2"/>
      <w:r>
        <w:rPr>
          <w:rFonts w:hint="eastAsia" w:ascii="仿宋" w:hAnsi="仿宋" w:eastAsia="仿宋" w:cs="仿宋"/>
          <w:color w:val="auto"/>
          <w:kern w:val="0"/>
          <w:szCs w:val="24"/>
          <w:highlight w:val="none"/>
        </w:rPr>
        <w:t>0512-53890</w:t>
      </w:r>
      <w:r>
        <w:rPr>
          <w:rFonts w:hint="eastAsia" w:ascii="仿宋" w:hAnsi="仿宋" w:eastAsia="仿宋" w:cs="仿宋"/>
          <w:color w:val="auto"/>
          <w:kern w:val="0"/>
          <w:szCs w:val="24"/>
          <w:highlight w:val="none"/>
          <w:lang w:val="en-US" w:eastAsia="zh-CN"/>
        </w:rPr>
        <w:t>639</w:t>
      </w:r>
      <w:bookmarkEnd w:id="4"/>
    </w:p>
    <w:p w14:paraId="31D501D4">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3.项目联系方式</w:t>
      </w:r>
    </w:p>
    <w:p w14:paraId="2BEB440C">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项目联系人：</w:t>
      </w:r>
      <w:r>
        <w:rPr>
          <w:rFonts w:hint="eastAsia" w:ascii="仿宋" w:hAnsi="仿宋" w:eastAsia="仿宋" w:cs="仿宋"/>
          <w:color w:val="auto"/>
          <w:kern w:val="0"/>
          <w:szCs w:val="24"/>
          <w:highlight w:val="none"/>
          <w:lang w:val="en-US" w:eastAsia="zh-CN"/>
        </w:rPr>
        <w:t>冯晔</w:t>
      </w:r>
    </w:p>
    <w:p w14:paraId="6A18B8D8">
      <w:pPr>
        <w:widowControl/>
        <w:pBdr>
          <w:top w:val="none" w:color="000000" w:sz="0" w:space="0"/>
          <w:left w:val="none" w:color="000000" w:sz="0" w:space="0"/>
          <w:bottom w:val="none" w:color="000000" w:sz="0" w:space="0"/>
          <w:right w:val="none" w:color="000000" w:sz="0" w:space="0"/>
        </w:pBdr>
        <w:spacing w:line="480" w:lineRule="exact"/>
        <w:ind w:firstLine="0" w:firstLineChars="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电话：0512-53890</w:t>
      </w:r>
      <w:r>
        <w:rPr>
          <w:rFonts w:hint="eastAsia" w:ascii="仿宋" w:hAnsi="仿宋" w:eastAsia="仿宋" w:cs="仿宋"/>
          <w:color w:val="auto"/>
          <w:kern w:val="0"/>
          <w:szCs w:val="24"/>
          <w:highlight w:val="none"/>
          <w:lang w:val="en-US" w:eastAsia="zh-CN"/>
        </w:rPr>
        <w:t>639</w:t>
      </w:r>
    </w:p>
    <w:p w14:paraId="55D2E809">
      <w:pPr>
        <w:tabs>
          <w:tab w:val="center" w:pos="7143"/>
          <w:tab w:val="right" w:pos="14287"/>
        </w:tabs>
        <w:ind w:firstLine="440"/>
        <w:rPr>
          <w:rFonts w:ascii="Arial" w:hAnsi="Arial" w:eastAsia="Arial" w:cs="Times New Roman"/>
          <w:color w:val="auto"/>
          <w:sz w:val="22"/>
          <w:highlight w:val="none"/>
        </w:rPr>
      </w:pPr>
    </w:p>
    <w:p w14:paraId="10C91403">
      <w:pPr>
        <w:widowControl/>
        <w:spacing w:line="480" w:lineRule="exact"/>
        <w:ind w:firstLine="0" w:firstLineChars="0"/>
        <w:jc w:val="center"/>
        <w:rPr>
          <w:rFonts w:hint="eastAsia" w:ascii="宋体" w:hAnsi="宋体" w:cs="宋体"/>
          <w:b/>
          <w:color w:val="auto"/>
          <w:kern w:val="0"/>
          <w:sz w:val="44"/>
          <w:szCs w:val="44"/>
          <w:highlight w:val="none"/>
        </w:rPr>
      </w:pPr>
    </w:p>
    <w:p w14:paraId="23505AE4">
      <w:pPr>
        <w:widowControl/>
        <w:spacing w:line="480" w:lineRule="exact"/>
        <w:ind w:firstLine="0" w:firstLineChars="0"/>
        <w:jc w:val="center"/>
        <w:rPr>
          <w:rFonts w:hint="eastAsia" w:ascii="宋体" w:hAnsi="宋体" w:cs="宋体"/>
          <w:b/>
          <w:color w:val="auto"/>
          <w:kern w:val="0"/>
          <w:sz w:val="44"/>
          <w:szCs w:val="44"/>
          <w:highlight w:val="none"/>
        </w:rPr>
      </w:pPr>
    </w:p>
    <w:p w14:paraId="16EF217B">
      <w:pPr>
        <w:widowControl/>
        <w:spacing w:line="480" w:lineRule="exact"/>
        <w:ind w:firstLine="0" w:firstLineChars="0"/>
        <w:jc w:val="center"/>
        <w:rPr>
          <w:rFonts w:hint="eastAsia" w:ascii="宋体" w:hAnsi="宋体" w:cs="宋体"/>
          <w:b/>
          <w:color w:val="auto"/>
          <w:kern w:val="0"/>
          <w:sz w:val="44"/>
          <w:szCs w:val="44"/>
          <w:highlight w:val="none"/>
        </w:rPr>
      </w:pPr>
    </w:p>
    <w:p w14:paraId="097FC5CB">
      <w:pPr>
        <w:widowControl/>
        <w:spacing w:line="480" w:lineRule="exact"/>
        <w:ind w:firstLine="0" w:firstLineChars="0"/>
        <w:jc w:val="center"/>
        <w:rPr>
          <w:rFonts w:hint="eastAsia" w:ascii="宋体" w:hAnsi="宋体" w:cs="宋体"/>
          <w:b/>
          <w:color w:val="auto"/>
          <w:kern w:val="0"/>
          <w:sz w:val="44"/>
          <w:szCs w:val="44"/>
          <w:highlight w:val="none"/>
        </w:rPr>
      </w:pPr>
    </w:p>
    <w:p w14:paraId="39AEB53D">
      <w:pPr>
        <w:widowControl/>
        <w:spacing w:line="480" w:lineRule="exact"/>
        <w:ind w:firstLine="0" w:firstLineChars="0"/>
        <w:jc w:val="center"/>
        <w:rPr>
          <w:rFonts w:hint="eastAsia" w:ascii="宋体" w:hAnsi="宋体" w:cs="宋体"/>
          <w:b/>
          <w:color w:val="auto"/>
          <w:kern w:val="0"/>
          <w:sz w:val="44"/>
          <w:szCs w:val="44"/>
          <w:highlight w:val="none"/>
        </w:rPr>
      </w:pPr>
    </w:p>
    <w:p w14:paraId="2061DC44">
      <w:pPr>
        <w:widowControl/>
        <w:spacing w:line="480" w:lineRule="exact"/>
        <w:ind w:firstLine="0" w:firstLineChars="0"/>
        <w:jc w:val="center"/>
        <w:rPr>
          <w:rFonts w:hint="eastAsia" w:ascii="宋体" w:hAnsi="宋体" w:cs="宋体"/>
          <w:b/>
          <w:color w:val="auto"/>
          <w:kern w:val="0"/>
          <w:sz w:val="44"/>
          <w:szCs w:val="44"/>
          <w:highlight w:val="none"/>
        </w:rPr>
      </w:pPr>
    </w:p>
    <w:p w14:paraId="7170E1BE">
      <w:pPr>
        <w:widowControl/>
        <w:spacing w:line="480" w:lineRule="exact"/>
        <w:ind w:firstLine="0" w:firstLineChars="0"/>
        <w:jc w:val="center"/>
        <w:rPr>
          <w:rFonts w:hint="eastAsia" w:ascii="宋体" w:hAnsi="宋体" w:cs="宋体"/>
          <w:b/>
          <w:color w:val="auto"/>
          <w:kern w:val="0"/>
          <w:sz w:val="44"/>
          <w:szCs w:val="44"/>
          <w:highlight w:val="none"/>
        </w:rPr>
      </w:pPr>
    </w:p>
    <w:p w14:paraId="15F2BBC3">
      <w:pPr>
        <w:widowControl/>
        <w:spacing w:line="480" w:lineRule="exact"/>
        <w:ind w:firstLine="0" w:firstLineChars="0"/>
        <w:jc w:val="center"/>
        <w:rPr>
          <w:rFonts w:hint="eastAsia" w:ascii="宋体" w:hAnsi="宋体" w:cs="宋体"/>
          <w:b/>
          <w:color w:val="auto"/>
          <w:kern w:val="0"/>
          <w:sz w:val="44"/>
          <w:szCs w:val="44"/>
          <w:highlight w:val="none"/>
        </w:rPr>
      </w:pPr>
    </w:p>
    <w:p w14:paraId="1B44F0A7">
      <w:pPr>
        <w:widowControl/>
        <w:spacing w:line="480" w:lineRule="exact"/>
        <w:ind w:firstLine="0" w:firstLineChars="0"/>
        <w:jc w:val="center"/>
        <w:rPr>
          <w:rFonts w:hint="eastAsia" w:ascii="宋体" w:hAnsi="宋体" w:cs="宋体"/>
          <w:b/>
          <w:color w:val="auto"/>
          <w:kern w:val="0"/>
          <w:sz w:val="44"/>
          <w:szCs w:val="44"/>
          <w:highlight w:val="none"/>
        </w:rPr>
      </w:pPr>
    </w:p>
    <w:p w14:paraId="07104334">
      <w:pPr>
        <w:widowControl/>
        <w:spacing w:line="480" w:lineRule="exact"/>
        <w:ind w:firstLine="0" w:firstLineChars="0"/>
        <w:jc w:val="center"/>
        <w:rPr>
          <w:rFonts w:hint="eastAsia" w:ascii="宋体" w:hAnsi="宋体" w:cs="宋体"/>
          <w:b/>
          <w:color w:val="auto"/>
          <w:kern w:val="0"/>
          <w:sz w:val="44"/>
          <w:szCs w:val="44"/>
          <w:highlight w:val="none"/>
        </w:rPr>
      </w:pPr>
    </w:p>
    <w:p w14:paraId="47C3F55D">
      <w:pPr>
        <w:widowControl/>
        <w:spacing w:line="480" w:lineRule="exact"/>
        <w:ind w:firstLine="0" w:firstLineChars="0"/>
        <w:jc w:val="center"/>
        <w:rPr>
          <w:rFonts w:hint="eastAsia" w:ascii="宋体" w:hAnsi="宋体" w:cs="宋体"/>
          <w:b/>
          <w:color w:val="auto"/>
          <w:kern w:val="0"/>
          <w:sz w:val="44"/>
          <w:szCs w:val="44"/>
          <w:highlight w:val="none"/>
        </w:rPr>
      </w:pPr>
    </w:p>
    <w:p w14:paraId="5209C122">
      <w:pPr>
        <w:widowControl/>
        <w:spacing w:line="480" w:lineRule="exact"/>
        <w:ind w:firstLine="0" w:firstLineChars="0"/>
        <w:jc w:val="center"/>
        <w:rPr>
          <w:rFonts w:hint="eastAsia" w:ascii="宋体" w:hAnsi="宋体" w:cs="宋体"/>
          <w:b/>
          <w:color w:val="auto"/>
          <w:kern w:val="0"/>
          <w:sz w:val="44"/>
          <w:szCs w:val="44"/>
          <w:highlight w:val="none"/>
        </w:rPr>
      </w:pPr>
    </w:p>
    <w:p w14:paraId="7D344D88">
      <w:pPr>
        <w:widowControl/>
        <w:spacing w:line="480" w:lineRule="exact"/>
        <w:ind w:firstLine="0" w:firstLineChars="0"/>
        <w:jc w:val="center"/>
        <w:rPr>
          <w:rFonts w:hint="eastAsia" w:ascii="宋体" w:hAnsi="宋体" w:cs="宋体"/>
          <w:b/>
          <w:color w:val="auto"/>
          <w:kern w:val="0"/>
          <w:sz w:val="44"/>
          <w:szCs w:val="44"/>
          <w:highlight w:val="none"/>
        </w:rPr>
      </w:pPr>
    </w:p>
    <w:p w14:paraId="58EE3F7F">
      <w:pPr>
        <w:widowControl/>
        <w:spacing w:line="480" w:lineRule="exact"/>
        <w:ind w:firstLine="0" w:firstLineChars="0"/>
        <w:jc w:val="center"/>
        <w:rPr>
          <w:rFonts w:hint="eastAsia" w:ascii="宋体" w:hAnsi="宋体" w:cs="宋体"/>
          <w:b/>
          <w:color w:val="auto"/>
          <w:kern w:val="0"/>
          <w:sz w:val="44"/>
          <w:szCs w:val="44"/>
          <w:highlight w:val="none"/>
        </w:rPr>
      </w:pPr>
    </w:p>
    <w:p w14:paraId="432EF369">
      <w:pPr>
        <w:widowControl/>
        <w:spacing w:line="480" w:lineRule="exact"/>
        <w:ind w:firstLine="0" w:firstLineChars="0"/>
        <w:jc w:val="center"/>
        <w:rPr>
          <w:rFonts w:hint="eastAsia" w:ascii="宋体" w:hAnsi="宋体" w:cs="宋体"/>
          <w:b/>
          <w:color w:val="auto"/>
          <w:kern w:val="0"/>
          <w:sz w:val="44"/>
          <w:szCs w:val="44"/>
          <w:highlight w:val="none"/>
        </w:rPr>
      </w:pPr>
    </w:p>
    <w:p w14:paraId="06A90E3B">
      <w:pPr>
        <w:widowControl/>
        <w:spacing w:line="480" w:lineRule="exact"/>
        <w:ind w:firstLine="0" w:firstLineChars="0"/>
        <w:jc w:val="center"/>
        <w:rPr>
          <w:rFonts w:hint="eastAsia" w:ascii="宋体" w:hAnsi="宋体" w:cs="宋体"/>
          <w:b/>
          <w:color w:val="auto"/>
          <w:kern w:val="0"/>
          <w:sz w:val="44"/>
          <w:szCs w:val="44"/>
          <w:highlight w:val="none"/>
        </w:rPr>
      </w:pPr>
    </w:p>
    <w:p w14:paraId="095CF288">
      <w:pPr>
        <w:widowControl/>
        <w:spacing w:line="480" w:lineRule="exact"/>
        <w:ind w:firstLine="0" w:firstLineChars="0"/>
        <w:jc w:val="center"/>
        <w:rPr>
          <w:rFonts w:hint="eastAsia" w:ascii="宋体" w:hAnsi="宋体" w:cs="宋体"/>
          <w:b/>
          <w:color w:val="auto"/>
          <w:kern w:val="0"/>
          <w:sz w:val="44"/>
          <w:szCs w:val="44"/>
          <w:highlight w:val="none"/>
        </w:rPr>
      </w:pPr>
    </w:p>
    <w:p w14:paraId="0A9740ED">
      <w:pPr>
        <w:widowControl/>
        <w:spacing w:line="480" w:lineRule="exact"/>
        <w:ind w:firstLine="0" w:firstLineChars="0"/>
        <w:jc w:val="center"/>
        <w:rPr>
          <w:rFonts w:hint="eastAsia" w:ascii="宋体" w:hAnsi="宋体" w:cs="宋体"/>
          <w:b/>
          <w:color w:val="auto"/>
          <w:kern w:val="0"/>
          <w:sz w:val="44"/>
          <w:szCs w:val="44"/>
          <w:highlight w:val="none"/>
        </w:rPr>
      </w:pPr>
    </w:p>
    <w:p w14:paraId="4E65F2CE">
      <w:pPr>
        <w:widowControl/>
        <w:spacing w:line="480" w:lineRule="exact"/>
        <w:ind w:firstLine="0" w:firstLineChars="0"/>
        <w:jc w:val="center"/>
        <w:rPr>
          <w:rFonts w:hint="eastAsia" w:ascii="宋体" w:hAnsi="宋体" w:cs="宋体"/>
          <w:b/>
          <w:color w:val="auto"/>
          <w:kern w:val="0"/>
          <w:sz w:val="44"/>
          <w:szCs w:val="44"/>
          <w:highlight w:val="none"/>
        </w:rPr>
      </w:pPr>
    </w:p>
    <w:p w14:paraId="77C9A319">
      <w:pPr>
        <w:widowControl/>
        <w:spacing w:line="240" w:lineRule="auto"/>
        <w:ind w:firstLine="0" w:firstLineChars="0"/>
        <w:jc w:val="left"/>
        <w:rPr>
          <w:rFonts w:hint="eastAsia" w:ascii="宋体" w:hAnsi="宋体" w:cs="宋体"/>
          <w:b/>
          <w:color w:val="auto"/>
          <w:kern w:val="0"/>
          <w:sz w:val="44"/>
          <w:szCs w:val="44"/>
          <w:highlight w:val="none"/>
        </w:rPr>
      </w:pPr>
      <w:r>
        <w:rPr>
          <w:rFonts w:hint="eastAsia" w:ascii="宋体" w:hAnsi="宋体" w:cs="宋体"/>
          <w:b/>
          <w:color w:val="auto"/>
          <w:kern w:val="0"/>
          <w:sz w:val="44"/>
          <w:szCs w:val="44"/>
          <w:highlight w:val="none"/>
        </w:rPr>
        <w:br w:type="page"/>
      </w:r>
    </w:p>
    <w:p w14:paraId="0C24B4F1">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cs="宋体"/>
          <w:b/>
          <w:color w:val="auto"/>
          <w:kern w:val="0"/>
          <w:sz w:val="44"/>
          <w:szCs w:val="44"/>
          <w:highlight w:val="none"/>
        </w:rPr>
      </w:pPr>
      <w:r>
        <w:rPr>
          <w:rFonts w:hint="eastAsia" w:ascii="宋体" w:hAnsi="宋体" w:cs="宋体"/>
          <w:b/>
          <w:color w:val="auto"/>
          <w:kern w:val="0"/>
          <w:sz w:val="44"/>
          <w:szCs w:val="44"/>
          <w:highlight w:val="none"/>
        </w:rPr>
        <w:t>第二部分  响应供应商须知</w:t>
      </w:r>
    </w:p>
    <w:p w14:paraId="1DDA9A9C">
      <w:pPr>
        <w:pStyle w:val="2"/>
        <w:rPr>
          <w:rFonts w:hint="eastAsia"/>
          <w:color w:val="auto"/>
          <w:highlight w:val="none"/>
        </w:rPr>
      </w:pPr>
    </w:p>
    <w:bookmarkEnd w:id="0"/>
    <w:p w14:paraId="287EF83B">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一、说明和释义</w:t>
      </w:r>
    </w:p>
    <w:p w14:paraId="2F92D03A">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 说明</w:t>
      </w:r>
    </w:p>
    <w:p w14:paraId="072A6A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1.1本采购文件仅适用于苏州市公共资源交易中心太仓分中心组织的采购活动。</w:t>
      </w:r>
    </w:p>
    <w:p w14:paraId="68B52B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1.2本次采购活动及因本次采购产生的合同受中国法律制约和保护。</w:t>
      </w:r>
    </w:p>
    <w:p w14:paraId="5CF5F3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1.3本采购文件的解释权属于采购人。</w:t>
      </w:r>
    </w:p>
    <w:p w14:paraId="09BB9427">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 词语释义</w:t>
      </w:r>
    </w:p>
    <w:p w14:paraId="328504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2.1采购代理机构：具体组织实施采购活动的法人。本项目采购代理机构是苏州市公共资源交易中心太仓分中心。</w:t>
      </w:r>
    </w:p>
    <w:p w14:paraId="201C0E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2.2响应供应商：经认定有资格响应采购，参加响应竞争的法人或其他组织和自然人。</w:t>
      </w:r>
    </w:p>
    <w:p w14:paraId="3F5843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2.3响应：响应供应商根据采购人或采购代理机构发布的采购文件，编制响应文件并按规定响应的行为。</w:t>
      </w:r>
    </w:p>
    <w:p w14:paraId="609C7A1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2.4合同：采供双方根据采购文件和成交的响应文件及成交通知书规定的内容签署的以书面形式所达成的协议，包括所有的附件、附录和构成协议的所有文件。</w:t>
      </w:r>
    </w:p>
    <w:p w14:paraId="5ADC2B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2.5甲方（采购方）：合同中明确规定的实际购买货物和服务的法人或其他组织和自然人（采购人）</w:t>
      </w:r>
    </w:p>
    <w:p w14:paraId="1E6EB4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2.6乙方（供应商）：合同中规定的向采购方提供货物和服务的法人或其他组织和自然人（成交人）</w:t>
      </w:r>
    </w:p>
    <w:p w14:paraId="4D12A0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2.7货物：系指乙方按采购文件规定，应向甲方提供的一切设备、备品、备件、工具、手册及其它有关技术资料和材料。</w:t>
      </w:r>
    </w:p>
    <w:p w14:paraId="4DB771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2.8服务：系指本次采购文件规定乙方应承担的与提供货物和服务有关的辅助服务，比如运输、保险、安装、调试、验收、提供技术援助、培训、配合措施、维修响应及合同中规定乙方应承担的其它义务。</w:t>
      </w:r>
    </w:p>
    <w:p w14:paraId="5DD4C7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2.9知识产权：指专利权、商标权、著作权等无形财产专有权的统称。</w:t>
      </w:r>
    </w:p>
    <w:p w14:paraId="2DDBB5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2.10天：日历日。</w:t>
      </w:r>
    </w:p>
    <w:p w14:paraId="1E69B2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2.11交货地点：合同中明确约定的乙方提交的货物和服务最终到达地点。</w:t>
      </w:r>
    </w:p>
    <w:p w14:paraId="738C07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2.12 合同价款：根据合同规定，乙方在正确地履行合同义务后甲方应支付乙方的价款。</w:t>
      </w:r>
    </w:p>
    <w:p w14:paraId="59965A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2.13 产地：货物开采、生长、生产、最终制造、加工或提供服务的来源地。</w:t>
      </w:r>
    </w:p>
    <w:p w14:paraId="505056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2.14不可抗力：不能预见、不能避免并且不能克服的客观情况。</w:t>
      </w:r>
    </w:p>
    <w:p w14:paraId="682B23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2.15 实质性响应：满足有关本次采购标的、数量、质量、价款或者报酬、履行期限、履行地点和方式、违约责任和解决争议方法等要求。</w:t>
      </w:r>
    </w:p>
    <w:p w14:paraId="6F1865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04452F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2.17进口产品：指通过中国海关报关验收进入中国境内且产自境外的产品。</w:t>
      </w:r>
    </w:p>
    <w:p w14:paraId="1548E2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2.18书面形式：指书面文字、合同书、信件和传真等可以有形地表现所载内容的形式。</w:t>
      </w:r>
    </w:p>
    <w:p w14:paraId="34E34F5F">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 响应供应商</w:t>
      </w:r>
    </w:p>
    <w:p w14:paraId="0F4BBDC3">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3. 合格响应供应商的基本条件</w:t>
      </w:r>
    </w:p>
    <w:p w14:paraId="051EFA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3.1符合《中华人民共和国政府采购法》第二十二条第一款之规定；</w:t>
      </w:r>
    </w:p>
    <w:p w14:paraId="46EC9C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3.2满足本文件实质性条款的规定。</w:t>
      </w:r>
    </w:p>
    <w:p w14:paraId="35AC4548">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4．合格响应供应商的特定条件</w:t>
      </w:r>
    </w:p>
    <w:p w14:paraId="47FC54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 按采购公告规定。</w:t>
      </w:r>
    </w:p>
    <w:p w14:paraId="78E0C8DF">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5. 响应供应商代表</w:t>
      </w:r>
    </w:p>
    <w:p w14:paraId="57D1389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5.1指全权代表响应供应商参加响应活动并签署响应文件的人，如果响应供应商代表不是法人代表，须持有《法人代表授权委托书》（详见统一格式）。</w:t>
      </w:r>
    </w:p>
    <w:p w14:paraId="2D6FFE4D">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6. 联合响应</w:t>
      </w:r>
    </w:p>
    <w:p w14:paraId="6ACD09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6.1按采购公告规定。</w:t>
      </w:r>
    </w:p>
    <w:p w14:paraId="2296EC34">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7. 响应费用 </w:t>
      </w:r>
    </w:p>
    <w:p w14:paraId="44CBDC5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7.1响应供应商应自行承担所有准备及参加响应的相关费用。不论响应结果如何，采购代理机构在任何情况下均无义务也无责任承担这些费用。</w:t>
      </w:r>
    </w:p>
    <w:p w14:paraId="7A60D8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 本次采购项目不收取标书费及成交服务费，请响应供应商在响应时充分考虑这一因素。</w:t>
      </w:r>
    </w:p>
    <w:p w14:paraId="0D02D00D">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三、采购文件说明</w:t>
      </w:r>
    </w:p>
    <w:p w14:paraId="0E3AAE23">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8. 采购文件</w:t>
      </w:r>
    </w:p>
    <w:p w14:paraId="0D523B0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7F43C2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8.2采购文件及其更正文件不是直接从采购代理机构或指定媒体获得的，采购代理机构对采购文件及其补遗的真实性、完整性不承担任何责任。</w:t>
      </w:r>
    </w:p>
    <w:p w14:paraId="4AF3E8DA">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9. 采购文件的澄清</w:t>
      </w:r>
    </w:p>
    <w:p w14:paraId="2CCD74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9.1响应供应商在获取采购文件后，若有疑问，应于网上响应截止时间之前，在网上业务系统向采购代理机构提出，采购代理机构将在业务系统上予以解答。</w:t>
      </w:r>
    </w:p>
    <w:p w14:paraId="494897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9.2如有必要，问题答复将以“变更公告”形式由采购代理机构按照本须知第10条的规定发出。</w:t>
      </w:r>
    </w:p>
    <w:p w14:paraId="0934219E">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10.采购文件的修改</w:t>
      </w:r>
    </w:p>
    <w:p w14:paraId="7409A5B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10.1采购代理机构无论出于自己的考虑，还是出于对响应供应商提问的澄清，均可对已发出的采购文件用</w:t>
      </w:r>
      <w:r>
        <w:rPr>
          <w:rFonts w:hint="eastAsia" w:ascii="宋体" w:hAnsi="宋体" w:eastAsia="宋体" w:cs="宋体"/>
          <w:color w:val="auto"/>
          <w:kern w:val="0"/>
          <w:sz w:val="24"/>
          <w:szCs w:val="24"/>
          <w:highlight w:val="none"/>
          <w:lang w:val="zh-CN"/>
        </w:rPr>
        <w:t>补充文件的方式</w:t>
      </w:r>
      <w:r>
        <w:rPr>
          <w:rFonts w:hint="eastAsia" w:ascii="宋体" w:hAnsi="宋体" w:eastAsia="宋体" w:cs="宋体"/>
          <w:color w:val="auto"/>
          <w:kern w:val="0"/>
          <w:sz w:val="24"/>
          <w:szCs w:val="24"/>
          <w:highlight w:val="none"/>
        </w:rPr>
        <w:t>进行必要澄清或者修改。</w:t>
      </w:r>
    </w:p>
    <w:p w14:paraId="40B143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10.2为使响应供应商有足够的时间按采购文件的修改要求考虑修正响应文件，或出于其他原因，采购代理机构有权推迟响应截止日期和开标日期，并将此变更以补充通知的形式在网上发布公告。</w:t>
      </w:r>
    </w:p>
    <w:p w14:paraId="069C01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10.3采购文件的更正（含澄清、修改等）内容与原采购文件在同一内容上表述不一致时，以发出日期最接近开标时间的公告为准。</w:t>
      </w:r>
    </w:p>
    <w:p w14:paraId="10321B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10.4采购文件的更正（含澄清、修改等）内容将在苏州政府采购网发布，请响应供应商及时查询，更正（含澄清、修改等）内容作为采购文件的组成部分，对响应供应商起约束作用。</w:t>
      </w:r>
    </w:p>
    <w:p w14:paraId="0213E7DC">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10.5采购文件若有最新的答疑文件，响应供应商必须下载并使用该文件制作新的电子响应文件，否则将无法完成电子响应文件的上传及响应。</w:t>
      </w:r>
    </w:p>
    <w:p w14:paraId="72D5EB2F">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11.质疑</w:t>
      </w:r>
    </w:p>
    <w:p w14:paraId="3E77D4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50950C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 提出质疑的供应商应当是参与所质疑项目采购活动的供应商，未参加响应活动的供应商或在响应活动中自身权益未受到损害的供应商所提出的质疑不予受理。</w:t>
      </w:r>
    </w:p>
    <w:p w14:paraId="00A3DB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11.3上述应知其权益受到损害之日是指：</w:t>
      </w:r>
    </w:p>
    <w:p w14:paraId="35D3B7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11.3.1对采购文件提出质疑的，为获取采购文件或者采购文件公告期限届满之日起计算；</w:t>
      </w:r>
    </w:p>
    <w:p w14:paraId="525FB12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11.3.2对采购过程提出质疑的，自采购程序环节结束之日起计算；</w:t>
      </w:r>
    </w:p>
    <w:p w14:paraId="29994F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11.3.3对成交结果提出质疑的，自成交结果公告期限届满之日起计算。</w:t>
      </w:r>
    </w:p>
    <w:p w14:paraId="48C3D8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 供应商提出质疑应当提交质疑函和必要的证明材料。质疑函应当包括下列内容：</w:t>
      </w:r>
    </w:p>
    <w:p w14:paraId="2BFE958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11.4.1 供应商的姓名或者名称、地址、邮编、联系人及联系电话；</w:t>
      </w:r>
    </w:p>
    <w:p w14:paraId="712A15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11.4.2 质疑项目的名称、编号；</w:t>
      </w:r>
    </w:p>
    <w:p w14:paraId="3F4D2D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11.4.3 具体、明确的质疑事项和与质疑事项相关的请求；</w:t>
      </w:r>
    </w:p>
    <w:p w14:paraId="68AD5C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11.4.4 事实依据；</w:t>
      </w:r>
    </w:p>
    <w:p w14:paraId="22730E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11.4.5 必要的法律依据；</w:t>
      </w:r>
    </w:p>
    <w:p w14:paraId="41E413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11.4.6 提出质疑的日期。</w:t>
      </w:r>
    </w:p>
    <w:p w14:paraId="2EB1F6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11.5质疑函的格式和内容应当符合财政部《政府采购供应商质疑函范本》 </w:t>
      </w:r>
      <w:bookmarkStart w:id="5" w:name="baidusnap5"/>
      <w:bookmarkEnd w:id="5"/>
      <w:r>
        <w:rPr>
          <w:rFonts w:hint="eastAsia" w:ascii="宋体" w:hAnsi="宋体" w:eastAsia="宋体" w:cs="宋体"/>
          <w:color w:val="auto"/>
          <w:kern w:val="0"/>
          <w:sz w:val="24"/>
          <w:szCs w:val="24"/>
          <w:highlight w:val="none"/>
        </w:rPr>
        <w:t>要求，质疑函范本在财政部官网上提供下载。</w:t>
      </w:r>
    </w:p>
    <w:p w14:paraId="48225C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11.6 提交质疑函同时应当附如下证明材料：</w:t>
      </w:r>
    </w:p>
    <w:p w14:paraId="0FD61B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11.6.1对采购文件提出质疑的供应商提供参加本项目的</w:t>
      </w:r>
      <w:r>
        <w:rPr>
          <w:rFonts w:hint="eastAsia" w:ascii="宋体" w:hAnsi="宋体" w:eastAsia="宋体" w:cs="宋体"/>
          <w:b/>
          <w:bCs/>
          <w:color w:val="auto"/>
          <w:kern w:val="0"/>
          <w:sz w:val="24"/>
          <w:szCs w:val="24"/>
          <w:highlight w:val="none"/>
        </w:rPr>
        <w:t>《投标供应商确认函》</w:t>
      </w:r>
      <w:r>
        <w:rPr>
          <w:rFonts w:hint="eastAsia" w:ascii="宋体" w:hAnsi="宋体" w:eastAsia="宋体" w:cs="宋体"/>
          <w:color w:val="auto"/>
          <w:kern w:val="0"/>
          <w:sz w:val="24"/>
          <w:szCs w:val="24"/>
          <w:highlight w:val="none"/>
        </w:rPr>
        <w:t>；</w:t>
      </w:r>
    </w:p>
    <w:p w14:paraId="490F54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11.6.2质疑供应商的营业执照复印件加盖单位公章；</w:t>
      </w:r>
    </w:p>
    <w:p w14:paraId="2AE6072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11.6.3质疑供应商法定代表人身份证复印件加盖单位公章；</w:t>
      </w:r>
    </w:p>
    <w:p w14:paraId="6299D2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071FAE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11.7 供应商为自然人的，应当由本人签字；供应商为法人或者其他组织的，应当由法定代表人、主要负责人，或者其授权代表签字或者盖章，并加盖公章。 </w:t>
      </w:r>
    </w:p>
    <w:p w14:paraId="08217D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11.8供应商对采购项目技术、商务及其他要求，以及评审细则、标准提出询问或质疑的，应向采购人提出；供应商对采购过程及成交结果提出询问或质疑的，应向采购机代理构提出；</w:t>
      </w:r>
    </w:p>
    <w:p w14:paraId="7FC66B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11.9 供应商如对本项目提出质疑须在法定质疑期内一次性提出针对同一采购程序环节的质疑。</w:t>
      </w:r>
    </w:p>
    <w:p w14:paraId="4D2142C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360"/>
        <w:textAlignment w:val="auto"/>
        <w:rPr>
          <w:rFonts w:ascii="宋体" w:hAnsi="宋体" w:eastAsia="宋体" w:cs="宋体"/>
          <w:color w:val="auto"/>
          <w:sz w:val="24"/>
          <w:highlight w:val="none"/>
        </w:rPr>
      </w:pPr>
      <w:r>
        <w:rPr>
          <w:rFonts w:ascii="宋体" w:hAnsi="宋体" w:eastAsia="宋体" w:cs="宋体"/>
          <w:color w:val="auto"/>
          <w:sz w:val="24"/>
          <w:highlight w:val="none"/>
        </w:rPr>
        <w:t>11.1</w:t>
      </w:r>
      <w:r>
        <w:rPr>
          <w:rFonts w:hint="eastAsia" w:ascii="宋体" w:hAnsi="宋体" w:eastAsia="宋体" w:cs="宋体"/>
          <w:color w:val="auto"/>
          <w:sz w:val="24"/>
          <w:highlight w:val="none"/>
        </w:rPr>
        <w:t>0</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color w:val="auto"/>
          <w:sz w:val="24"/>
          <w:highlight w:val="none"/>
        </w:rPr>
        <w:t>（即《投标供应商确认函》）</w:t>
      </w:r>
      <w:r>
        <w:rPr>
          <w:rFonts w:hint="eastAsia" w:ascii="宋体" w:hAnsi="宋体" w:eastAsia="宋体" w:cs="宋体"/>
          <w:color w:val="auto"/>
          <w:sz w:val="24"/>
          <w:highlight w:val="none"/>
        </w:rPr>
        <w:t>与质疑函一起递交，否则不予受理。</w:t>
      </w:r>
    </w:p>
    <w:p w14:paraId="414CA21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360"/>
        <w:textAlignment w:val="auto"/>
        <w:rPr>
          <w:color w:val="auto"/>
          <w:highlight w:val="none"/>
        </w:rPr>
      </w:pPr>
      <w:r>
        <w:rPr>
          <w:rFonts w:ascii="宋体" w:hAnsi="宋体" w:eastAsia="宋体" w:cs="宋体"/>
          <w:color w:val="auto"/>
          <w:sz w:val="24"/>
          <w:highlight w:val="none"/>
        </w:rPr>
        <w:t>11.11 接受质疑函联系方式见采购公告联系事项。</w:t>
      </w:r>
    </w:p>
    <w:p w14:paraId="44DF77C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p>
    <w:p w14:paraId="64BDF072">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四、 响应文件说明</w:t>
      </w:r>
    </w:p>
    <w:p w14:paraId="1ED40777">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12、提示与要求</w:t>
      </w:r>
    </w:p>
    <w:p w14:paraId="4DD886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12.1响应供应商应仔细阅读采购文件的所有内容，按采购文件的要求提供响应文件，并保证所提供的全部资料的真实性，以使其响应对采购文件做出实质性响应，否则，其响应可能被拒绝。</w:t>
      </w:r>
    </w:p>
    <w:p w14:paraId="48026B3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12.2无论是否递交响应文件，响应供应商都应将采购文件及以后的所有通知、文件等视为保密文件。</w:t>
      </w:r>
    </w:p>
    <w:p w14:paraId="2335CC4C">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13. 响应文件计量单位和使用文字</w:t>
      </w:r>
    </w:p>
    <w:p w14:paraId="6DB9EF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13.1响应文件中所使用的计量单位，除采购文件中有特殊要求外，均应使用中华人民共和国法定计量单位。</w:t>
      </w:r>
    </w:p>
    <w:p w14:paraId="5950FB6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4C0CD5EC">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14. 知识产权</w:t>
      </w:r>
    </w:p>
    <w:p w14:paraId="5317FF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14:paraId="7014F9DE">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15. 响应文件的组成和顺序</w:t>
      </w:r>
    </w:p>
    <w:p w14:paraId="5131E000">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15.1报价部分（详见响应文件格式）：</w:t>
      </w:r>
    </w:p>
    <w:p w14:paraId="56F49D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15.1.1《开标一览表》(统一格式)；</w:t>
      </w:r>
    </w:p>
    <w:p w14:paraId="365387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15.1.2响应报价明细表；</w:t>
      </w:r>
    </w:p>
    <w:p w14:paraId="52CFB537">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15.2 响应正文部分（包含资质证明和技术部分）</w:t>
      </w:r>
    </w:p>
    <w:p w14:paraId="0A994C28">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15.2.1资质证明文件部分</w:t>
      </w:r>
    </w:p>
    <w:p w14:paraId="2F9EBE8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15.2.1.1关于资格文件的声明函（详见文件格式）；</w:t>
      </w:r>
    </w:p>
    <w:p w14:paraId="28D4200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15.2.1.2响应承诺函（详见响应文件格式）；</w:t>
      </w:r>
    </w:p>
    <w:p w14:paraId="2B1D12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15.2.1.3响应单位营业执照副本或三证合一营业执照复印件；</w:t>
      </w:r>
    </w:p>
    <w:p w14:paraId="01AAEE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15.2.1.4响应供应商参加本次政府采购活动前的财务状况报告或者银行出具的资信证明；</w:t>
      </w:r>
    </w:p>
    <w:p w14:paraId="77E861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15.2.1.5响应供应商根据项目需求提供履行合同所必需的设备和专业技术能力的证明材料；</w:t>
      </w:r>
    </w:p>
    <w:p w14:paraId="65F8B3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15.2.1.6响应供应商参加本次政府采购活动前半年（至少一个月）依法缴纳税收和社会保障资金的证明材料；</w:t>
      </w:r>
    </w:p>
    <w:p w14:paraId="19237C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15.2.1.7响应供应商参加政府采购活动前三年在经营活动中没有重大违法记录的书面申明（详见文件格式）；</w:t>
      </w:r>
    </w:p>
    <w:p w14:paraId="243848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15.2.1.8响应供应商证明其符合采购文件规定的响应供应商特定资格条件的证书、证明和文件材料；（如有）</w:t>
      </w:r>
    </w:p>
    <w:p w14:paraId="30876EC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15.2.1.9响应供应商基本情况表（详见文件格式）；</w:t>
      </w:r>
    </w:p>
    <w:p w14:paraId="2BB3D3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15.2.1.10响应供应商法定代表人身份证复印件；</w:t>
      </w:r>
    </w:p>
    <w:p w14:paraId="1D183F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15.2.1.11响应供应商法定代表人授权委托书原件（如有授权）（详见文件格式）；</w:t>
      </w:r>
    </w:p>
    <w:p w14:paraId="5873F5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15.2.1.12响应供应商授权代理人身份证复印件（如有授权）；</w:t>
      </w:r>
    </w:p>
    <w:p w14:paraId="53E67CF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15.2.1.13中小企业声明函（如有）</w:t>
      </w:r>
    </w:p>
    <w:p w14:paraId="718438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15.2.1.14残疾人福利性单位声明函（如有）；</w:t>
      </w:r>
    </w:p>
    <w:p w14:paraId="296F58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15.2.1.15其他可以证明响应供应商资信、资质和货物、服务质量的证书、文件、推荐信等资料；（如有）</w:t>
      </w:r>
    </w:p>
    <w:p w14:paraId="79FA4135">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15.2.2技术部分</w:t>
      </w:r>
    </w:p>
    <w:p w14:paraId="4B64671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15.2.2.1服务要求偏离表（详见文件格式）；</w:t>
      </w:r>
    </w:p>
    <w:p w14:paraId="258F34C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15.2.2.2商务要求偏离表（详见文件格式）；</w:t>
      </w:r>
    </w:p>
    <w:p w14:paraId="2590E5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15.2.2.3项目的技术及服务方案；</w:t>
      </w:r>
    </w:p>
    <w:p w14:paraId="63770B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15.2.2.4售后服务内容；</w:t>
      </w:r>
    </w:p>
    <w:p w14:paraId="0B13EF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15.2.2.5采购文件中要求提供的其他相关材料；</w:t>
      </w:r>
    </w:p>
    <w:p w14:paraId="3CB561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15.2.2.6其他需响应供应商对本次响应的详细说明（响应供应商视各自的情况自行编制）；</w:t>
      </w:r>
    </w:p>
    <w:p w14:paraId="24BF91A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color w:val="auto"/>
          <w:kern w:val="0"/>
          <w:sz w:val="24"/>
          <w:szCs w:val="24"/>
          <w:highlight w:val="none"/>
        </w:rPr>
        <w:t>。</w:t>
      </w:r>
    </w:p>
    <w:p w14:paraId="074955DA">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dstrike/>
          <w:color w:val="auto"/>
          <w:kern w:val="0"/>
          <w:sz w:val="24"/>
          <w:szCs w:val="24"/>
          <w:highlight w:val="none"/>
        </w:rPr>
      </w:pPr>
      <w:r>
        <w:rPr>
          <w:rFonts w:hint="eastAsia" w:ascii="宋体" w:hAnsi="宋体" w:eastAsia="宋体" w:cs="宋体"/>
          <w:b/>
          <w:color w:val="auto"/>
          <w:kern w:val="0"/>
          <w:sz w:val="24"/>
          <w:szCs w:val="24"/>
          <w:highlight w:val="none"/>
        </w:rPr>
        <w:t>15.3响应文件由15.1、15.2款规定的内容共同组成。</w:t>
      </w:r>
    </w:p>
    <w:p w14:paraId="0997EC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16. 响应文件编制要求   </w:t>
      </w:r>
    </w:p>
    <w:p w14:paraId="33CF89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w:t>
      </w:r>
      <w:r>
        <w:rPr>
          <w:rFonts w:hint="eastAsia" w:ascii="宋体" w:hAnsi="宋体" w:eastAsia="宋体" w:cs="宋体"/>
          <w:b/>
          <w:color w:val="auto"/>
          <w:kern w:val="0"/>
          <w:sz w:val="24"/>
          <w:szCs w:val="24"/>
          <w:highlight w:val="none"/>
        </w:rPr>
        <w:t>电子响应文件编制要求：</w:t>
      </w:r>
      <w:r>
        <w:rPr>
          <w:rFonts w:hint="eastAsia" w:ascii="宋体" w:hAnsi="宋体" w:eastAsia="宋体" w:cs="宋体"/>
          <w:color w:val="auto"/>
          <w:kern w:val="0"/>
          <w:sz w:val="24"/>
          <w:szCs w:val="24"/>
          <w:highlight w:val="none"/>
        </w:rPr>
        <w:t>响应人应使用</w:t>
      </w:r>
      <w:r>
        <w:rPr>
          <w:rFonts w:hint="eastAsia" w:ascii="宋体" w:hAnsi="宋体" w:eastAsia="宋体" w:cs="宋体"/>
          <w:b/>
          <w:color w:val="auto"/>
          <w:kern w:val="0"/>
          <w:sz w:val="24"/>
          <w:szCs w:val="24"/>
          <w:highlight w:val="none"/>
        </w:rPr>
        <w:t>采购文件要求的响应文件制作软件制作电子响应文件</w:t>
      </w:r>
      <w:r>
        <w:rPr>
          <w:rFonts w:hint="eastAsia" w:ascii="宋体" w:hAnsi="宋体" w:eastAsia="宋体" w:cs="宋体"/>
          <w:color w:val="auto"/>
          <w:kern w:val="0"/>
          <w:sz w:val="24"/>
          <w:szCs w:val="24"/>
          <w:highlight w:val="none"/>
        </w:rPr>
        <w:t>，电子响应文件按采购文件规定的格式制作，如果未按要求制作上传，可能导致响应无效。</w:t>
      </w:r>
    </w:p>
    <w:p w14:paraId="59259BE7">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17. 响应报价（编制）要求的说明</w:t>
      </w:r>
    </w:p>
    <w:p w14:paraId="1EFD0F0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14:paraId="07B56E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6E008E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 一项响应内容只允许一个报价，采购代理机构不接受任何有选择性的响应报价。</w:t>
      </w:r>
    </w:p>
    <w:p w14:paraId="7454DD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17.4响应文件报价中的单价和总价全部采用人民币表示，除非合同的特殊条款另有规定。</w:t>
      </w:r>
    </w:p>
    <w:p w14:paraId="0582D9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17.5最低的响应报价或最高的折扣比例是成交的重要条件，但不是成交的唯一条件。</w:t>
      </w:r>
    </w:p>
    <w:p w14:paraId="70073A05">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18. 响应保证金</w:t>
      </w:r>
    </w:p>
    <w:p w14:paraId="3712B9DA">
      <w:pPr>
        <w:keepNext w:val="0"/>
        <w:keepLines w:val="0"/>
        <w:pageBreakBefore w:val="0"/>
        <w:widowControl/>
        <w:kinsoku/>
        <w:wordWrap/>
        <w:overflowPunct/>
        <w:topLinePunct w:val="0"/>
        <w:autoSpaceDE/>
        <w:autoSpaceDN/>
        <w:bidi w:val="0"/>
        <w:adjustRightInd/>
        <w:snapToGrid/>
        <w:spacing w:after="200" w:line="560" w:lineRule="exact"/>
        <w:ind w:firstLine="480" w:firstLineChars="200"/>
        <w:jc w:val="left"/>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本项目无须缴纳响应保证金。</w:t>
      </w:r>
    </w:p>
    <w:p w14:paraId="6B952523">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19. 响应文件的有效期</w:t>
      </w:r>
    </w:p>
    <w:p w14:paraId="129BD707">
      <w:pPr>
        <w:keepNext w:val="0"/>
        <w:keepLines w:val="0"/>
        <w:pageBreakBefore w:val="0"/>
        <w:widowControl/>
        <w:kinsoku/>
        <w:wordWrap/>
        <w:overflowPunct/>
        <w:topLinePunct w:val="0"/>
        <w:autoSpaceDE/>
        <w:autoSpaceDN/>
        <w:bidi w:val="0"/>
        <w:adjustRightInd/>
        <w:snapToGrid/>
        <w:spacing w:after="200" w:line="560" w:lineRule="exact"/>
        <w:ind w:firstLine="480" w:firstLineChars="200"/>
        <w:jc w:val="left"/>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19.1在本采购文件规定的开标之日起九十（90）天内，响应供应商所提交的响应文件应保持有效。</w:t>
      </w:r>
      <w:r>
        <w:rPr>
          <w:rFonts w:hint="eastAsia" w:ascii="宋体" w:hAnsi="宋体" w:eastAsia="宋体" w:cs="宋体"/>
          <w:b/>
          <w:color w:val="auto"/>
          <w:kern w:val="0"/>
          <w:sz w:val="24"/>
          <w:szCs w:val="24"/>
          <w:highlight w:val="none"/>
        </w:rPr>
        <w:t>有效期短于这个规定期限的响应文件，将被认定为未实质性响应采购文件要求。</w:t>
      </w:r>
    </w:p>
    <w:p w14:paraId="61A25A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14:paraId="24249218">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五、响应文件的提交、撤回和修改</w:t>
      </w:r>
    </w:p>
    <w:p w14:paraId="20A7E4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 响应文件的上传、提交</w:t>
      </w:r>
    </w:p>
    <w:p w14:paraId="0AC507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20.1响应供应商应将制作好的加密电子响应文件按要求在响应截止时间前上传到交易系统平台中。</w:t>
      </w:r>
    </w:p>
    <w:p w14:paraId="09F5CD3C">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21. 响应截止时间</w:t>
      </w:r>
    </w:p>
    <w:p w14:paraId="57DC9E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21.1电子响应文件必须按采购公告中规定的网上响应截止时间前提交，否则响应无效。</w:t>
      </w:r>
    </w:p>
    <w:p w14:paraId="60C122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21.2采购代理机构推迟响应截止时间时，应以更正公告的形式，通知所有响应供应商。在这种情况下，采购代理机构和响应供应商的权利和义务将受到新的截止期的约束。</w:t>
      </w:r>
    </w:p>
    <w:p w14:paraId="525F55C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21.3在响应截止时间止，采购代理机构于本项目（或标段）收到的电子响应文件少于一份的，采购代理机构有权宣布本项目（或标段）采购失败。</w:t>
      </w:r>
    </w:p>
    <w:p w14:paraId="0F89AA7B">
      <w:pPr>
        <w:keepNext w:val="0"/>
        <w:keepLines w:val="0"/>
        <w:pageBreakBefore w:val="0"/>
        <w:widowControl/>
        <w:kinsoku/>
        <w:wordWrap/>
        <w:overflowPunct/>
        <w:topLinePunct w:val="0"/>
        <w:autoSpaceDE/>
        <w:autoSpaceDN/>
        <w:bidi w:val="0"/>
        <w:adjustRightInd/>
        <w:snapToGrid/>
        <w:spacing w:after="200" w:line="560" w:lineRule="exact"/>
        <w:ind w:firstLine="482" w:firstLineChars="200"/>
        <w:jc w:val="left"/>
        <w:textAlignment w:val="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22. 响应文件的修改和撤回</w:t>
      </w:r>
    </w:p>
    <w:p w14:paraId="00A9B9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22.1响应供应商在提交响应文件截止时间前，可对其响应文件进行撤回或修改。</w:t>
      </w:r>
    </w:p>
    <w:p w14:paraId="49A04A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23.2开标后响应供应商不得撤回响应。</w:t>
      </w:r>
    </w:p>
    <w:p w14:paraId="148161A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六、响应和评审</w:t>
      </w:r>
    </w:p>
    <w:p w14:paraId="557846A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23. 单一来源采购仪式</w:t>
      </w:r>
    </w:p>
    <w:p w14:paraId="1E3AB2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23.1采购代理机构按采购公告规定的时间、地点主持不见面采购活动。采购仪式由采购代理机构、采购人等主持。</w:t>
      </w:r>
    </w:p>
    <w:p w14:paraId="29D2458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23.2</w:t>
      </w:r>
      <w:r>
        <w:rPr>
          <w:rFonts w:hint="eastAsia" w:ascii="宋体" w:hAnsi="宋体" w:eastAsia="宋体" w:cs="宋体"/>
          <w:b/>
          <w:color w:val="auto"/>
          <w:kern w:val="0"/>
          <w:sz w:val="24"/>
          <w:szCs w:val="24"/>
          <w:highlight w:val="none"/>
        </w:rPr>
        <w:t>参加采购活动的响应法定代表人或授权代理人须在项目开始前登录苏采云不见面开标系统，进入网上不见面开标大厅，做好相关准备工作。</w:t>
      </w:r>
    </w:p>
    <w:p w14:paraId="0EDC06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23.3单一来源采购</w:t>
      </w:r>
      <w:r>
        <w:rPr>
          <w:rFonts w:hint="eastAsia" w:ascii="宋体" w:hAnsi="宋体" w:eastAsia="Arial" w:cs="Times New Roman"/>
          <w:color w:val="auto"/>
          <w:kern w:val="0"/>
          <w:sz w:val="24"/>
          <w:szCs w:val="24"/>
          <w:highlight w:val="none"/>
        </w:rPr>
        <w:t>活动开始后，按照采购流程，响应供应商在规定的解密时间内解密响应文件，</w:t>
      </w:r>
      <w:r>
        <w:rPr>
          <w:rFonts w:hint="eastAsia" w:ascii="宋体" w:hAnsi="宋体" w:eastAsia="Arial" w:cs="Times New Roman"/>
          <w:b/>
          <w:color w:val="auto"/>
          <w:kern w:val="0"/>
          <w:sz w:val="24"/>
          <w:szCs w:val="24"/>
          <w:highlight w:val="none"/>
        </w:rPr>
        <w:t>解密时间为15分钟，</w:t>
      </w:r>
      <w:r>
        <w:rPr>
          <w:rFonts w:hint="eastAsia" w:ascii="宋体" w:hAnsi="宋体" w:eastAsia="Arial" w:cs="Times New Roman"/>
          <w:color w:val="auto"/>
          <w:kern w:val="0"/>
          <w:sz w:val="24"/>
          <w:szCs w:val="24"/>
          <w:highlight w:val="none"/>
        </w:rPr>
        <w:t>因自身原因导致解密失败的，由响应供应商自行承担向相关责任。</w:t>
      </w:r>
    </w:p>
    <w:p w14:paraId="0ACDD9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23.4响应人代表对采购仪式过程和记录有疑义，以及认为采购人、采购代理机构相关工作人员有需要回避的情形的，</w:t>
      </w:r>
      <w:r>
        <w:rPr>
          <w:rFonts w:hint="eastAsia" w:ascii="宋体" w:hAnsi="宋体" w:eastAsia="宋体" w:cs="宋体"/>
          <w:b/>
          <w:color w:val="auto"/>
          <w:kern w:val="0"/>
          <w:sz w:val="24"/>
          <w:szCs w:val="24"/>
          <w:highlight w:val="none"/>
        </w:rPr>
        <w:t>应通过不见面开标大厅提出</w:t>
      </w:r>
      <w:r>
        <w:rPr>
          <w:rFonts w:hint="eastAsia" w:ascii="宋体" w:hAnsi="宋体" w:eastAsia="宋体" w:cs="宋体"/>
          <w:color w:val="auto"/>
          <w:kern w:val="0"/>
          <w:sz w:val="24"/>
          <w:szCs w:val="24"/>
          <w:highlight w:val="none"/>
        </w:rPr>
        <w:t>询问或者回避申请。采购人、采购代理机构对响应人代表提出的询问或者回避申请应当及时处理。</w:t>
      </w:r>
    </w:p>
    <w:p w14:paraId="44E343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24. 评审小组</w:t>
      </w:r>
    </w:p>
    <w:p w14:paraId="020B2D0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hint="eastAsia" w:ascii="宋体" w:hAnsi="宋体" w:eastAsia="宋体" w:cs="宋体"/>
          <w:color w:val="auto"/>
          <w:kern w:val="0"/>
          <w:sz w:val="24"/>
          <w:szCs w:val="24"/>
          <w:highlight w:val="none"/>
        </w:rPr>
        <w:t>24.1评审小组由采购人或委托采购代理机构依法组建，负责本项目</w:t>
      </w:r>
      <w:r>
        <w:rPr>
          <w:rFonts w:ascii="宋体" w:hAnsi="宋体" w:eastAsia="宋体" w:cs="宋体"/>
          <w:color w:val="auto"/>
          <w:kern w:val="0"/>
          <w:sz w:val="24"/>
          <w:szCs w:val="24"/>
          <w:highlight w:val="none"/>
        </w:rPr>
        <w:t>的评审事务。</w:t>
      </w:r>
    </w:p>
    <w:p w14:paraId="49E6B85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24.2评审小组独立履行下列职责：</w:t>
      </w:r>
    </w:p>
    <w:p w14:paraId="78C311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24.2.1审查响应文件是否符合</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的要求，并作出评价；</w:t>
      </w:r>
    </w:p>
    <w:p w14:paraId="06E4FD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24.2.2可以要求响应供应商对响应文件有关事项作出解释或澄清；</w:t>
      </w:r>
    </w:p>
    <w:p w14:paraId="0D1C78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24.2.3推荐成交候选供应商名单，或者受采购人委托按照事先确定的办法直接确定</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w:t>
      </w:r>
    </w:p>
    <w:p w14:paraId="6196C8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24.2.4向采购代理机构或者有关部门报告非法干预评审工作的行为；</w:t>
      </w:r>
    </w:p>
    <w:p w14:paraId="35A800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24.3评审小组成员应当履行下列义务：</w:t>
      </w:r>
    </w:p>
    <w:p w14:paraId="4AE488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24.3.1遵纪守法，客观、公正、廉洁地履行职责；</w:t>
      </w:r>
    </w:p>
    <w:p w14:paraId="09E9D1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24.3.2按照</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规定的评审办法和评审标准进行评审，对评审意见承担个人责任；</w:t>
      </w:r>
    </w:p>
    <w:p w14:paraId="52E41A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24.3.3对评审过程和结果，以及响应人的商业秘密保密；</w:t>
      </w:r>
    </w:p>
    <w:p w14:paraId="6311DAF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24.3.4参与评审报告的起草；</w:t>
      </w:r>
    </w:p>
    <w:p w14:paraId="3AD2F0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24.3.5配合采购代理机构答复响应供应商提出的质疑；</w:t>
      </w:r>
    </w:p>
    <w:p w14:paraId="03BF7B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24.3.6配合相关部门的投诉处理工作；</w:t>
      </w:r>
    </w:p>
    <w:p w14:paraId="53CE99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25. 评审内容的保密</w:t>
      </w:r>
    </w:p>
    <w:p w14:paraId="566646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25.1公开开标后，直到宣布授予</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合同为止，凡属于审查、澄清、评价和比较响应的所有资料，有关授予合同的信息都不应向响应人或与评审无关的其他人泄露。</w:t>
      </w:r>
    </w:p>
    <w:p w14:paraId="0B0FB5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25.2 在响应文件的审查、澄清、评价和比较以及授予合同的过程中，响应人对采购代理机构和评审小组成员施加影响的任何行为，都将取消其响应资格。</w:t>
      </w:r>
    </w:p>
    <w:p w14:paraId="52D814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25.3在评审期间，采购代理机构将通过指定联络人与响应人进行联系。</w:t>
      </w:r>
    </w:p>
    <w:p w14:paraId="3BE93C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26.对</w:t>
      </w:r>
      <w:r>
        <w:rPr>
          <w:rFonts w:hint="eastAsia" w:ascii="宋体" w:hAnsi="宋体" w:eastAsia="宋体" w:cs="宋体"/>
          <w:b/>
          <w:color w:val="auto"/>
          <w:kern w:val="0"/>
          <w:sz w:val="24"/>
          <w:szCs w:val="24"/>
          <w:highlight w:val="none"/>
        </w:rPr>
        <w:t>响应文件</w:t>
      </w:r>
      <w:r>
        <w:rPr>
          <w:rFonts w:ascii="宋体" w:hAnsi="宋体" w:eastAsia="宋体" w:cs="宋体"/>
          <w:b/>
          <w:color w:val="auto"/>
          <w:kern w:val="0"/>
          <w:sz w:val="24"/>
          <w:szCs w:val="24"/>
          <w:highlight w:val="none"/>
        </w:rPr>
        <w:t>初审</w:t>
      </w:r>
    </w:p>
    <w:p w14:paraId="65343D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26.1</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初审分为资格性检查和符合性检查。</w:t>
      </w:r>
    </w:p>
    <w:p w14:paraId="34FE9F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26.1.1资格性检查。依据法律法规和</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的规定，采购人或者采购代理机构依法对响应人的资格进行审查。对</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中的资格证明等进行审查，以确定响应供应商是否具备响应资格。</w:t>
      </w:r>
    </w:p>
    <w:p w14:paraId="0EB750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26.1.2 关于信用记录查询：</w:t>
      </w:r>
    </w:p>
    <w:p w14:paraId="6B8DF8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A7479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hint="eastAsia" w:ascii="Arial" w:hAnsi="Arial" w:eastAsia="宋体" w:cs="Times New Roman"/>
          <w:color w:val="auto"/>
          <w:kern w:val="0"/>
          <w:sz w:val="24"/>
          <w:szCs w:val="24"/>
          <w:highlight w:val="none"/>
          <w:lang w:eastAsia="zh-CN"/>
        </w:rPr>
      </w:pPr>
      <w:r>
        <w:rPr>
          <w:rFonts w:ascii="宋体" w:hAnsi="宋体" w:eastAsia="宋体" w:cs="宋体"/>
          <w:color w:val="auto"/>
          <w:kern w:val="0"/>
          <w:sz w:val="24"/>
          <w:szCs w:val="24"/>
          <w:highlight w:val="none"/>
        </w:rPr>
        <w:t>26.1.2.1查询时间：评审</w:t>
      </w:r>
      <w:r>
        <w:rPr>
          <w:rFonts w:hint="eastAsia" w:ascii="宋体" w:hAnsi="宋体" w:eastAsia="宋体" w:cs="宋体"/>
          <w:color w:val="auto"/>
          <w:kern w:val="0"/>
          <w:sz w:val="24"/>
          <w:szCs w:val="24"/>
          <w:highlight w:val="none"/>
          <w:lang w:val="en-US" w:eastAsia="zh-CN"/>
        </w:rPr>
        <w:t>阶段</w:t>
      </w:r>
    </w:p>
    <w:p w14:paraId="411138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26.1.2.2查询渠道：通过“信用中国”网站、中国政府采购网等渠道查询相关主体信用记录。</w:t>
      </w:r>
    </w:p>
    <w:p w14:paraId="615EC5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754A11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26.1.2.4信用记录使用规则：评审小组在对供应商进行资格性审查时，应根据查询结果对供应商的不良信用记录逐项甄别确认。</w:t>
      </w:r>
    </w:p>
    <w:p w14:paraId="429783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26.1.3符合性检查。依据</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的规定，从</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的有效性、完整性和对</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的响应程度进行审查，以确定是否对</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的实质性要求作出响应。</w:t>
      </w:r>
    </w:p>
    <w:p w14:paraId="33944E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26.2开标后，评审小组将审查</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是否实质性响应</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的要求、内容是否完整、价格构成有无计算错误、文件签署是否齐全等。</w:t>
      </w:r>
    </w:p>
    <w:p w14:paraId="5735C89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26.3在详细评审之前，评审小组将首先审查每份响应书是否实质响应了</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的要求。实质上的响应应该是与</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的全部条款、条件和规格相符，没有重大偏离或保留。所谓重大偏离或保留是指影响合同的供货范围、质量和性能等；或者在实质上与</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不一致〔如货物和服务的质量、数量明显不能满足</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的要求〕，而且限制了合同中买方的权利或响应单位的义务。这些偏离或保留将会对其他实质上响应要求的响应单位的竞争地位产生不公正的影响。</w:t>
      </w:r>
    </w:p>
    <w:p w14:paraId="28323D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26.4</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提供的工艺、材料、设备、参考的商标或样本目录号码等仅作为说明并没有限制性，响应供应商在响应中可以选用替代标准，但这些替代标准要优于或相当于技术规格中要求的标准，以满足采购单位的需要。</w:t>
      </w:r>
    </w:p>
    <w:p w14:paraId="5E3249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进行实质性修改，否则</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将被拒绝。</w:t>
      </w:r>
    </w:p>
    <w:p w14:paraId="0F5F6D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26.6评审小组将对确定为实质性响应的响应进行审核，看其是否有计算上或累加上的算术错误，修正错误的原则如下：</w:t>
      </w:r>
    </w:p>
    <w:p w14:paraId="0C37C7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26.6.1</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中开标一览表（报价表）内容与</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中相应内容不一致的，以开标一览表（报价表）为准；</w:t>
      </w:r>
    </w:p>
    <w:p w14:paraId="56C8BE3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26.6.2大写金额和小写金额不一致的，以大写金额为准；</w:t>
      </w:r>
    </w:p>
    <w:p w14:paraId="787699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26.6.3单价金额小数点或者百分比有明显错位的，以开标一览表的总价为准，并修改单价；</w:t>
      </w:r>
    </w:p>
    <w:p w14:paraId="7AD0BF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26.6.4总价金额与按单价汇总金额不一致的，以单价金额计算结果为准。</w:t>
      </w:r>
    </w:p>
    <w:p w14:paraId="69B180E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color w:val="auto"/>
          <w:kern w:val="0"/>
          <w:sz w:val="24"/>
          <w:szCs w:val="24"/>
          <w:highlight w:val="none"/>
        </w:rPr>
      </w:pPr>
      <w:r>
        <w:rPr>
          <w:rFonts w:ascii="宋体" w:hAnsi="宋体" w:eastAsia="宋体" w:cs="宋体"/>
          <w:color w:val="auto"/>
          <w:kern w:val="0"/>
          <w:sz w:val="24"/>
          <w:szCs w:val="24"/>
          <w:highlight w:val="none"/>
        </w:rPr>
        <w:t>同时出现两种以上不一致的，按照前款规定的顺序修正。修正后的报价按照本须知26.6条规定经响应人确认后产生约束力，响应人不确认的，其响应无效。</w:t>
      </w:r>
    </w:p>
    <w:p w14:paraId="44FA77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26.7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14:paraId="700373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异常低价投标（响应）审查的情形和具体要求如下：</w:t>
      </w:r>
    </w:p>
    <w:p w14:paraId="16AEBB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26.7.1投标（响应）报价低于采购项目预算50%的，即投标（响应）报价&lt;采购项目预算*50%；</w:t>
      </w:r>
    </w:p>
    <w:p w14:paraId="317C64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26.7.2投标（响应）报价低于采购项目最高限价45%的，即投标（响应）报价&lt;采购项目最高限价*45%；</w:t>
      </w:r>
    </w:p>
    <w:p w14:paraId="1EA980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26.7.3评审委员会认定的供应商报价过低、有可能影响产品质量或者不能诚信履约的其他情形。</w:t>
      </w:r>
    </w:p>
    <w:p w14:paraId="304B87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26.8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40466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26.9对不同文字文本投标文件的解释发生异议的，以中文文本为准。</w:t>
      </w:r>
    </w:p>
    <w:p w14:paraId="3C92D6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26.10评标委员会对投标文件的判定，只依据投标内容本身，不依靠开标后的任何外来证明。</w:t>
      </w:r>
    </w:p>
    <w:p w14:paraId="6388F0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26.11评标委员会将拒绝被确定为非实质性响应的投标，投标人不能通过修正或撤销不符之处而使其投标成为实质性响应的投标。</w:t>
      </w:r>
    </w:p>
    <w:p w14:paraId="3387AD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27.响应的澄清</w:t>
      </w:r>
    </w:p>
    <w:p w14:paraId="682D88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27.1在</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的范围或者改变</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的实质性内容。</w:t>
      </w:r>
    </w:p>
    <w:p w14:paraId="7F4F9D8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28.无效响应和废标</w:t>
      </w:r>
    </w:p>
    <w:p w14:paraId="3A4899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28.1无效响应的具体情形有：  </w:t>
      </w:r>
    </w:p>
    <w:p w14:paraId="79D5787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28.1.1响应文件未按采购文件要求签署、盖章或电子签章的；</w:t>
      </w:r>
    </w:p>
    <w:p w14:paraId="2D6A638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28.1.2不具备采购文件中规定的资格要求的；</w:t>
      </w:r>
    </w:p>
    <w:p w14:paraId="0E4340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28.1.3报价超过采购文件中规定的预算金额或者最高限价的；</w:t>
      </w:r>
    </w:p>
    <w:p w14:paraId="56C3E5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28.1.4响应文件含有采购人不能接受的附加条件的；</w:t>
      </w:r>
    </w:p>
    <w:p w14:paraId="076EAD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28.1.5法律、法规和采购文件规定的其他无效情形。</w:t>
      </w:r>
    </w:p>
    <w:p w14:paraId="4855C2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28.2 在采购中，出现下列情形之一的，应予废标：</w:t>
      </w:r>
    </w:p>
    <w:p w14:paraId="7E662C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28.2.1出现影响采购公正的违法、违规行为的；</w:t>
      </w:r>
    </w:p>
    <w:p w14:paraId="59639A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28.2.2响应供应商的报价均超过了采购预算，采购人不能支付的；</w:t>
      </w:r>
    </w:p>
    <w:p w14:paraId="7A88A9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28.2.3因重大变故，采购任务取消的。</w:t>
      </w:r>
    </w:p>
    <w:p w14:paraId="3B56E5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28.3 废标后，采购人应当将废标理由通知所有响应供应商。</w:t>
      </w:r>
    </w:p>
    <w:p w14:paraId="51FAEF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 xml:space="preserve">29. </w:t>
      </w:r>
      <w:r>
        <w:rPr>
          <w:rFonts w:hint="eastAsia" w:ascii="宋体" w:hAnsi="宋体" w:eastAsia="宋体" w:cs="宋体"/>
          <w:b/>
          <w:color w:val="auto"/>
          <w:kern w:val="0"/>
          <w:sz w:val="24"/>
          <w:szCs w:val="24"/>
          <w:highlight w:val="none"/>
        </w:rPr>
        <w:t>响应文件</w:t>
      </w:r>
      <w:r>
        <w:rPr>
          <w:rFonts w:ascii="宋体" w:hAnsi="宋体" w:eastAsia="宋体" w:cs="宋体"/>
          <w:b/>
          <w:color w:val="auto"/>
          <w:kern w:val="0"/>
          <w:sz w:val="24"/>
          <w:szCs w:val="24"/>
          <w:highlight w:val="none"/>
        </w:rPr>
        <w:t>的评价和比较</w:t>
      </w:r>
    </w:p>
    <w:p w14:paraId="4340300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29.1评审小组按</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规定的评审方法和标准，仅对资格性检查和符合性检查合格的</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进行商务和技术评估，综合比较与评价。</w:t>
      </w:r>
    </w:p>
    <w:p w14:paraId="71A9B8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29.2评价和比较采用综合评分法，评审小组严格按照</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的要求、条件、评分标准，对响应单位所提供货物和服务的先进性、可靠性、售后服务承诺、质量保证承诺等实质性响应内容进行比较报价，同时考虑以下因素：    </w:t>
      </w:r>
    </w:p>
    <w:p w14:paraId="6AFED4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29.2.1服务的质量保证（保障）内容；</w:t>
      </w:r>
    </w:p>
    <w:p w14:paraId="185D29D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29.2.2服务配备的人员；</w:t>
      </w:r>
    </w:p>
    <w:p w14:paraId="0DB29F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29.2.3响应者的资信情况和履约能力；</w:t>
      </w:r>
    </w:p>
    <w:p w14:paraId="700ED8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29.2.4响应者提供的其他优惠条件；</w:t>
      </w:r>
    </w:p>
    <w:p w14:paraId="6B144C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29.2.5参与本项目政府采购工作的态度及信誉；</w:t>
      </w:r>
    </w:p>
    <w:p w14:paraId="4160314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29.2.6最低的响应报价或最高的折扣比例是成交的重要条件，但不是唯一条件。</w:t>
      </w:r>
    </w:p>
    <w:p w14:paraId="63EDD20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七、授予合同</w:t>
      </w:r>
    </w:p>
    <w:p w14:paraId="4B54F8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 xml:space="preserve">30. </w:t>
      </w:r>
      <w:r>
        <w:rPr>
          <w:rFonts w:hint="eastAsia" w:ascii="宋体" w:hAnsi="宋体" w:eastAsia="宋体" w:cs="宋体"/>
          <w:b/>
          <w:color w:val="auto"/>
          <w:kern w:val="0"/>
          <w:sz w:val="24"/>
          <w:szCs w:val="24"/>
          <w:highlight w:val="none"/>
        </w:rPr>
        <w:t>成交供应商</w:t>
      </w:r>
      <w:r>
        <w:rPr>
          <w:rFonts w:ascii="宋体" w:hAnsi="宋体" w:eastAsia="宋体" w:cs="宋体"/>
          <w:b/>
          <w:color w:val="auto"/>
          <w:kern w:val="0"/>
          <w:sz w:val="24"/>
          <w:szCs w:val="24"/>
          <w:highlight w:val="none"/>
        </w:rPr>
        <w:t>的确认          </w:t>
      </w:r>
    </w:p>
    <w:p w14:paraId="0037F6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30.1评审小组按</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规定的评审方法和标准进行详细评审后，按采购人的委托向采购人推荐成交候选单位或根据采购人授权直接确定</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w:t>
      </w:r>
    </w:p>
    <w:p w14:paraId="542C6A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30.2经评审小组评审并确定</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后，采购人或授权采购代理机构将在规定的时间内将成交结果在相关媒体上予以公告。</w:t>
      </w:r>
    </w:p>
    <w:p w14:paraId="73EC75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14:paraId="32C26C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30.4质疑函递交地点及联系方式详见公告内容</w:t>
      </w:r>
    </w:p>
    <w:p w14:paraId="6147EE0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31. 合同授予标准</w:t>
      </w:r>
    </w:p>
    <w:p w14:paraId="5BB40D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31.1采购人将把合同授予其</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在实质上响应</w:t>
      </w:r>
      <w:r>
        <w:rPr>
          <w:rFonts w:hint="eastAsia" w:ascii="宋体" w:hAnsi="宋体" w:eastAsia="宋体" w:cs="宋体"/>
          <w:color w:val="auto"/>
          <w:kern w:val="0"/>
          <w:sz w:val="24"/>
          <w:szCs w:val="24"/>
          <w:highlight w:val="none"/>
        </w:rPr>
        <w:t>采购文件</w:t>
      </w:r>
      <w:r>
        <w:rPr>
          <w:rFonts w:ascii="宋体" w:hAnsi="宋体" w:eastAsia="宋体" w:cs="宋体"/>
          <w:color w:val="auto"/>
          <w:kern w:val="0"/>
          <w:sz w:val="24"/>
          <w:szCs w:val="24"/>
          <w:highlight w:val="none"/>
        </w:rPr>
        <w:t>要求和按本须知规定评选出的响应人。确定为成交的响应人必须具有实施本合同的能力和资源。</w:t>
      </w:r>
    </w:p>
    <w:p w14:paraId="4D4727D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31.2政府采购合同履行中，采购人需追加与合同标的物相同的货物、工程或者服务的，在不改变合同其他条款的前提下，可以与</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签订补充合同，但所有补充合同的采购金额不得超过原合同采购金额的百分之十。</w:t>
      </w:r>
    </w:p>
    <w:p w14:paraId="7867F04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 xml:space="preserve">32. </w:t>
      </w:r>
      <w:r>
        <w:rPr>
          <w:rFonts w:hint="eastAsia" w:ascii="宋体" w:hAnsi="宋体" w:eastAsia="宋体" w:cs="宋体"/>
          <w:b/>
          <w:color w:val="auto"/>
          <w:kern w:val="0"/>
          <w:sz w:val="24"/>
          <w:szCs w:val="24"/>
          <w:highlight w:val="none"/>
        </w:rPr>
        <w:t>成交通知书</w:t>
      </w:r>
    </w:p>
    <w:p w14:paraId="44882B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32.1确定出</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后</w:t>
      </w:r>
      <w:r>
        <w:rPr>
          <w:rFonts w:hint="eastAsia" w:ascii="宋体" w:hAnsi="宋体" w:eastAsia="宋体" w:cs="宋体"/>
          <w:color w:val="auto"/>
          <w:kern w:val="0"/>
          <w:sz w:val="24"/>
          <w:szCs w:val="24"/>
          <w:highlight w:val="none"/>
        </w:rPr>
        <w:t>响应文件</w:t>
      </w:r>
      <w:r>
        <w:rPr>
          <w:rFonts w:ascii="宋体" w:hAnsi="宋体" w:eastAsia="宋体" w:cs="宋体"/>
          <w:color w:val="auto"/>
          <w:kern w:val="0"/>
          <w:sz w:val="24"/>
          <w:szCs w:val="24"/>
          <w:highlight w:val="none"/>
        </w:rPr>
        <w:t>有效期截止前，采购代理机构应当向</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发出</w:t>
      </w:r>
      <w:r>
        <w:rPr>
          <w:rFonts w:hint="eastAsia" w:ascii="宋体" w:hAnsi="宋体" w:eastAsia="宋体" w:cs="宋体"/>
          <w:color w:val="auto"/>
          <w:kern w:val="0"/>
          <w:sz w:val="24"/>
          <w:szCs w:val="24"/>
          <w:highlight w:val="none"/>
        </w:rPr>
        <w:t>成交通知书</w:t>
      </w:r>
      <w:r>
        <w:rPr>
          <w:rFonts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成交通知书</w:t>
      </w:r>
      <w:r>
        <w:rPr>
          <w:rFonts w:ascii="宋体" w:hAnsi="宋体" w:eastAsia="宋体" w:cs="宋体"/>
          <w:color w:val="auto"/>
          <w:kern w:val="0"/>
          <w:sz w:val="24"/>
          <w:szCs w:val="24"/>
          <w:highlight w:val="none"/>
        </w:rPr>
        <w:t>对采购人和</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具有同等法律效力。</w:t>
      </w:r>
      <w:r>
        <w:rPr>
          <w:rFonts w:hint="eastAsia" w:ascii="宋体" w:hAnsi="宋体" w:eastAsia="宋体" w:cs="宋体"/>
          <w:color w:val="auto"/>
          <w:kern w:val="0"/>
          <w:sz w:val="24"/>
          <w:szCs w:val="24"/>
          <w:highlight w:val="none"/>
        </w:rPr>
        <w:t>成交通知书</w:t>
      </w:r>
      <w:r>
        <w:rPr>
          <w:rFonts w:ascii="宋体" w:hAnsi="宋体" w:eastAsia="宋体" w:cs="宋体"/>
          <w:color w:val="auto"/>
          <w:kern w:val="0"/>
          <w:sz w:val="24"/>
          <w:szCs w:val="24"/>
          <w:highlight w:val="none"/>
        </w:rPr>
        <w:t>发出后，采购人改变成交结果，或者</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放弃成交，应当承担相应的法律责任。</w:t>
      </w:r>
    </w:p>
    <w:p w14:paraId="0C4781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32.2</w:t>
      </w:r>
      <w:r>
        <w:rPr>
          <w:rFonts w:hint="eastAsia" w:ascii="宋体" w:hAnsi="宋体" w:eastAsia="宋体" w:cs="宋体"/>
          <w:b/>
          <w:color w:val="auto"/>
          <w:kern w:val="0"/>
          <w:sz w:val="24"/>
          <w:szCs w:val="24"/>
          <w:highlight w:val="none"/>
        </w:rPr>
        <w:t>成交通知书</w:t>
      </w:r>
      <w:r>
        <w:rPr>
          <w:rFonts w:ascii="宋体" w:hAnsi="宋体" w:eastAsia="宋体" w:cs="宋体"/>
          <w:b/>
          <w:color w:val="auto"/>
          <w:kern w:val="0"/>
          <w:sz w:val="24"/>
          <w:szCs w:val="24"/>
          <w:highlight w:val="none"/>
        </w:rPr>
        <w:t>在成交公告发布后将发布在业务系统中，</w:t>
      </w:r>
      <w:r>
        <w:rPr>
          <w:rFonts w:hint="eastAsia" w:ascii="宋体" w:hAnsi="宋体" w:eastAsia="宋体" w:cs="宋体"/>
          <w:b/>
          <w:color w:val="auto"/>
          <w:kern w:val="0"/>
          <w:sz w:val="24"/>
          <w:szCs w:val="24"/>
          <w:highlight w:val="none"/>
        </w:rPr>
        <w:t>成交通知书</w:t>
      </w:r>
      <w:r>
        <w:rPr>
          <w:rFonts w:ascii="宋体" w:hAnsi="宋体" w:eastAsia="宋体" w:cs="宋体"/>
          <w:b/>
          <w:color w:val="auto"/>
          <w:kern w:val="0"/>
          <w:sz w:val="24"/>
          <w:szCs w:val="24"/>
          <w:highlight w:val="none"/>
        </w:rPr>
        <w:t>发布之日视为</w:t>
      </w:r>
      <w:r>
        <w:rPr>
          <w:rFonts w:hint="eastAsia" w:ascii="宋体" w:hAnsi="宋体" w:eastAsia="宋体" w:cs="宋体"/>
          <w:b/>
          <w:color w:val="auto"/>
          <w:kern w:val="0"/>
          <w:sz w:val="24"/>
          <w:szCs w:val="24"/>
          <w:highlight w:val="none"/>
        </w:rPr>
        <w:t>成交供应商</w:t>
      </w:r>
      <w:r>
        <w:rPr>
          <w:rFonts w:ascii="宋体" w:hAnsi="宋体" w:eastAsia="宋体" w:cs="宋体"/>
          <w:b/>
          <w:color w:val="auto"/>
          <w:kern w:val="0"/>
          <w:sz w:val="24"/>
          <w:szCs w:val="24"/>
          <w:highlight w:val="none"/>
        </w:rPr>
        <w:t>领取之日，</w:t>
      </w:r>
      <w:r>
        <w:rPr>
          <w:rFonts w:hint="eastAsia" w:ascii="宋体" w:hAnsi="宋体" w:eastAsia="宋体" w:cs="宋体"/>
          <w:b/>
          <w:color w:val="auto"/>
          <w:kern w:val="0"/>
          <w:sz w:val="24"/>
          <w:szCs w:val="24"/>
          <w:highlight w:val="none"/>
        </w:rPr>
        <w:t>成交供应商自</w:t>
      </w:r>
      <w:r>
        <w:rPr>
          <w:rFonts w:ascii="宋体" w:hAnsi="宋体" w:eastAsia="宋体" w:cs="宋体"/>
          <w:b/>
          <w:color w:val="auto"/>
          <w:sz w:val="24"/>
          <w:highlight w:val="none"/>
        </w:rPr>
        <w:t>领取之日</w:t>
      </w:r>
      <w:r>
        <w:rPr>
          <w:rFonts w:hint="eastAsia" w:ascii="宋体" w:hAnsi="宋体" w:eastAsia="宋体" w:cs="宋体"/>
          <w:b/>
          <w:color w:val="auto"/>
          <w:sz w:val="24"/>
          <w:highlight w:val="none"/>
        </w:rPr>
        <w:t>起3</w:t>
      </w:r>
      <w:r>
        <w:rPr>
          <w:rFonts w:ascii="宋体" w:hAnsi="宋体" w:eastAsia="宋体" w:cs="宋体"/>
          <w:b/>
          <w:color w:val="auto"/>
          <w:sz w:val="24"/>
          <w:highlight w:val="none"/>
        </w:rPr>
        <w:t>0日内</w:t>
      </w:r>
      <w:r>
        <w:rPr>
          <w:rFonts w:ascii="宋体" w:hAnsi="宋体" w:eastAsia="宋体" w:cs="宋体"/>
          <w:b/>
          <w:color w:val="auto"/>
          <w:kern w:val="0"/>
          <w:sz w:val="24"/>
          <w:szCs w:val="24"/>
          <w:highlight w:val="none"/>
        </w:rPr>
        <w:t>自行在业务系统中下载打印。</w:t>
      </w:r>
    </w:p>
    <w:p w14:paraId="068FEB3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360"/>
        <w:textAlignment w:val="auto"/>
        <w:rPr>
          <w:rFonts w:ascii="宋体" w:hAnsi="宋体" w:eastAsia="宋体" w:cs="宋体"/>
          <w:color w:val="auto"/>
          <w:sz w:val="24"/>
          <w:highlight w:val="none"/>
        </w:rPr>
      </w:pPr>
      <w:r>
        <w:rPr>
          <w:rFonts w:ascii="宋体" w:hAnsi="宋体" w:eastAsia="宋体" w:cs="宋体"/>
          <w:b/>
          <w:color w:val="auto"/>
          <w:sz w:val="24"/>
          <w:highlight w:val="none"/>
        </w:rPr>
        <w:t>32.3</w:t>
      </w:r>
      <w:r>
        <w:rPr>
          <w:rFonts w:hint="eastAsia" w:ascii="宋体" w:hAnsi="宋体" w:eastAsia="宋体" w:cs="宋体"/>
          <w:color w:val="auto"/>
          <w:sz w:val="24"/>
          <w:highlight w:val="none"/>
        </w:rPr>
        <w:t>因系统存储空间有限，自中标结果公告届满之日起30日后，“苏采云”系统不再保证提供下载中标通知书服务,因未及时下载而造成的不利后果由中标供应商自行承担。</w:t>
      </w:r>
    </w:p>
    <w:p w14:paraId="0A91ABA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360"/>
        <w:textAlignment w:val="auto"/>
        <w:rPr>
          <w:color w:val="auto"/>
          <w:highlight w:val="none"/>
        </w:rPr>
      </w:pPr>
      <w:r>
        <w:rPr>
          <w:rFonts w:ascii="宋体" w:hAnsi="宋体" w:eastAsia="宋体" w:cs="宋体"/>
          <w:color w:val="auto"/>
          <w:sz w:val="24"/>
          <w:highlight w:val="none"/>
        </w:rPr>
        <w:t>32.4</w:t>
      </w:r>
      <w:r>
        <w:rPr>
          <w:rFonts w:hint="eastAsia" w:ascii="宋体" w:hAnsi="宋体" w:eastAsia="宋体" w:cs="宋体"/>
          <w:color w:val="auto"/>
          <w:kern w:val="0"/>
          <w:sz w:val="24"/>
          <w:szCs w:val="24"/>
          <w:highlight w:val="none"/>
        </w:rPr>
        <w:t>成交通知书</w:t>
      </w:r>
      <w:r>
        <w:rPr>
          <w:rFonts w:ascii="宋体" w:hAnsi="宋体" w:eastAsia="宋体" w:cs="宋体"/>
          <w:color w:val="auto"/>
          <w:sz w:val="24"/>
          <w:highlight w:val="none"/>
        </w:rPr>
        <w:t>将成为合同的组成部分。</w:t>
      </w:r>
    </w:p>
    <w:p w14:paraId="74CC7D9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360"/>
        <w:textAlignment w:val="auto"/>
        <w:rPr>
          <w:color w:val="auto"/>
          <w:highlight w:val="none"/>
        </w:rPr>
      </w:pPr>
      <w:r>
        <w:rPr>
          <w:rFonts w:ascii="宋体" w:hAnsi="宋体" w:eastAsia="宋体" w:cs="宋体"/>
          <w:color w:val="auto"/>
          <w:sz w:val="24"/>
          <w:highlight w:val="none"/>
        </w:rPr>
        <w:t>32.5采购代理机构对</w:t>
      </w:r>
      <w:r>
        <w:rPr>
          <w:rFonts w:ascii="宋体" w:hAnsi="宋体" w:eastAsia="宋体" w:cs="宋体"/>
          <w:color w:val="auto"/>
          <w:kern w:val="0"/>
          <w:sz w:val="24"/>
          <w:szCs w:val="24"/>
          <w:highlight w:val="none"/>
        </w:rPr>
        <w:t>未</w:t>
      </w:r>
      <w:r>
        <w:rPr>
          <w:rFonts w:hint="eastAsia" w:ascii="宋体" w:hAnsi="宋体" w:eastAsia="宋体" w:cs="宋体"/>
          <w:color w:val="auto"/>
          <w:kern w:val="0"/>
          <w:sz w:val="24"/>
          <w:szCs w:val="24"/>
          <w:highlight w:val="none"/>
        </w:rPr>
        <w:t>成交</w:t>
      </w:r>
      <w:r>
        <w:rPr>
          <w:rFonts w:ascii="宋体" w:hAnsi="宋体" w:eastAsia="宋体" w:cs="宋体"/>
          <w:color w:val="auto"/>
          <w:sz w:val="24"/>
          <w:highlight w:val="none"/>
        </w:rPr>
        <w:t>供应商不承担解释未中标原因的义务。</w:t>
      </w:r>
    </w:p>
    <w:p w14:paraId="661181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Arial" w:hAnsi="Arial" w:eastAsia="Arial" w:cs="Times New Roman"/>
          <w:color w:val="auto"/>
          <w:kern w:val="0"/>
          <w:sz w:val="24"/>
          <w:szCs w:val="24"/>
          <w:highlight w:val="none"/>
        </w:rPr>
      </w:pPr>
      <w:r>
        <w:rPr>
          <w:rFonts w:ascii="宋体" w:hAnsi="宋体" w:eastAsia="宋体" w:cs="宋体"/>
          <w:b/>
          <w:color w:val="auto"/>
          <w:kern w:val="0"/>
          <w:sz w:val="24"/>
          <w:szCs w:val="24"/>
          <w:highlight w:val="none"/>
        </w:rPr>
        <w:t>33.履约保证金</w:t>
      </w:r>
    </w:p>
    <w:p w14:paraId="086AFD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33.1</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按合同约定要求提交履约保证金。</w:t>
      </w:r>
    </w:p>
    <w:p w14:paraId="07155C8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33.2履约保证金用以约束供应商在合同履行中的行为，弥补合同执行中由于自身行为可能给采购人带来的各种损失。</w:t>
      </w:r>
    </w:p>
    <w:p w14:paraId="4F6CAF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Arial" w:hAnsi="Arial" w:eastAsia="Arial" w:cs="Times New Roman"/>
          <w:color w:val="auto"/>
          <w:kern w:val="0"/>
          <w:sz w:val="24"/>
          <w:szCs w:val="24"/>
          <w:highlight w:val="none"/>
        </w:rPr>
      </w:pPr>
      <w:r>
        <w:rPr>
          <w:rFonts w:ascii="宋体" w:hAnsi="宋体" w:eastAsia="宋体" w:cs="宋体"/>
          <w:color w:val="auto"/>
          <w:kern w:val="0"/>
          <w:sz w:val="24"/>
          <w:szCs w:val="24"/>
          <w:highlight w:val="none"/>
        </w:rPr>
        <w:t>33.3履约保证金（无息）将在</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合同履行完毕且质保期满后，采购人在五个工作日内退返</w:t>
      </w:r>
      <w:r>
        <w:rPr>
          <w:rFonts w:hint="eastAsia" w:ascii="宋体" w:hAnsi="宋体" w:eastAsia="宋体" w:cs="宋体"/>
          <w:color w:val="auto"/>
          <w:kern w:val="0"/>
          <w:sz w:val="24"/>
          <w:szCs w:val="24"/>
          <w:highlight w:val="none"/>
        </w:rPr>
        <w:t>成交供应商</w:t>
      </w:r>
      <w:r>
        <w:rPr>
          <w:rFonts w:ascii="宋体" w:hAnsi="宋体" w:eastAsia="宋体" w:cs="宋体"/>
          <w:color w:val="auto"/>
          <w:kern w:val="0"/>
          <w:sz w:val="24"/>
          <w:szCs w:val="24"/>
          <w:highlight w:val="none"/>
        </w:rPr>
        <w:t>。</w:t>
      </w:r>
    </w:p>
    <w:p w14:paraId="4BB3AE3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 合同的签订</w:t>
      </w:r>
    </w:p>
    <w:p w14:paraId="0793AC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14:paraId="11B2CF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34.2成交供应商应按成交通知书中规定，由法定代表人或授权代理人与采购人代表签订合同，否则按放弃成交权处理。</w:t>
      </w:r>
    </w:p>
    <w:p w14:paraId="5983F5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34.3签订合同及合同条款应以采购文件和成交供应商的响应文件及其澄清文件为依据。</w:t>
      </w:r>
    </w:p>
    <w:p w14:paraId="791E2E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34.4成交人无正当理由拒签合同的，或在签订合同时向采购人提出附加条件或者更改合同实质性内容的，采购人可取消其成交资格，同时由成交人承担相应的法律责任</w:t>
      </w:r>
    </w:p>
    <w:p w14:paraId="76BBE1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34.5签订合同后，</w:t>
      </w:r>
      <w:r>
        <w:rPr>
          <w:rFonts w:hint="eastAsia" w:ascii="宋体" w:hAnsi="宋体" w:eastAsia="宋体" w:cs="宋体"/>
          <w:color w:val="auto"/>
          <w:kern w:val="0"/>
          <w:sz w:val="24"/>
          <w:szCs w:val="24"/>
          <w:highlight w:val="none"/>
        </w:rPr>
        <w:t>成交人</w:t>
      </w:r>
      <w:r>
        <w:rPr>
          <w:rFonts w:ascii="宋体" w:hAnsi="宋体" w:eastAsia="宋体" w:cs="宋体"/>
          <w:color w:val="auto"/>
          <w:kern w:val="0"/>
          <w:sz w:val="24"/>
          <w:szCs w:val="24"/>
          <w:highlight w:val="none"/>
        </w:rPr>
        <w:t>不得将货物及其他相关服务进行转包。未经采购人同意，</w:t>
      </w:r>
      <w:r>
        <w:rPr>
          <w:rFonts w:hint="eastAsia" w:ascii="宋体" w:hAnsi="宋体" w:eastAsia="宋体" w:cs="宋体"/>
          <w:color w:val="auto"/>
          <w:kern w:val="0"/>
          <w:sz w:val="24"/>
          <w:szCs w:val="24"/>
          <w:highlight w:val="none"/>
        </w:rPr>
        <w:t>成交人</w:t>
      </w:r>
      <w:r>
        <w:rPr>
          <w:rFonts w:ascii="宋体" w:hAnsi="宋体" w:eastAsia="宋体" w:cs="宋体"/>
          <w:color w:val="auto"/>
          <w:kern w:val="0"/>
          <w:sz w:val="24"/>
          <w:szCs w:val="24"/>
          <w:highlight w:val="none"/>
        </w:rPr>
        <w:t>也不得采用分包的形式履行合同，否则采购人有权终止合同。转包或分包造成采购人</w:t>
      </w:r>
      <w:r>
        <w:rPr>
          <w:rFonts w:hint="eastAsia" w:ascii="宋体" w:hAnsi="宋体" w:eastAsia="宋体" w:cs="宋体"/>
          <w:color w:val="auto"/>
          <w:kern w:val="0"/>
          <w:sz w:val="24"/>
          <w:szCs w:val="24"/>
          <w:highlight w:val="none"/>
        </w:rPr>
        <w:t>损失的，成交人应承担相应赔偿责任。</w:t>
      </w:r>
    </w:p>
    <w:p w14:paraId="7939AEB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textAlignment w:val="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八、政府采购相关政策</w:t>
      </w:r>
    </w:p>
    <w:p w14:paraId="0213DFD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2"/>
        <w:jc w:val="both"/>
        <w:textAlignment w:val="auto"/>
        <w:outlineLvl w:val="3"/>
        <w:rPr>
          <w:color w:val="auto"/>
          <w:highlight w:val="none"/>
          <w:lang w:eastAsia="zh-CN"/>
        </w:rPr>
      </w:pPr>
      <w:r>
        <w:rPr>
          <w:rFonts w:ascii="宋体" w:hAnsi="宋体" w:eastAsia="宋体" w:cs="宋体"/>
          <w:b/>
          <w:color w:val="auto"/>
          <w:sz w:val="24"/>
          <w:highlight w:val="none"/>
          <w:lang w:eastAsia="zh-CN"/>
        </w:rPr>
        <w:t>3</w:t>
      </w:r>
      <w:r>
        <w:rPr>
          <w:rFonts w:hint="eastAsia" w:ascii="宋体" w:hAnsi="宋体" w:eastAsia="宋体" w:cs="宋体"/>
          <w:b/>
          <w:color w:val="auto"/>
          <w:sz w:val="24"/>
          <w:highlight w:val="none"/>
          <w:lang w:val="en-US" w:eastAsia="zh-CN"/>
        </w:rPr>
        <w:t>5.1属于</w:t>
      </w:r>
      <w:r>
        <w:rPr>
          <w:rFonts w:ascii="宋体" w:hAnsi="宋体" w:eastAsia="宋体" w:cs="宋体"/>
          <w:b/>
          <w:color w:val="auto"/>
          <w:sz w:val="24"/>
          <w:highlight w:val="none"/>
          <w:lang w:eastAsia="zh-CN"/>
        </w:rPr>
        <w:t>专门面向中小企业采购</w:t>
      </w:r>
      <w:r>
        <w:rPr>
          <w:rFonts w:hint="eastAsia" w:ascii="宋体" w:hAnsi="宋体" w:eastAsia="宋体" w:cs="宋体"/>
          <w:b/>
          <w:color w:val="auto"/>
          <w:sz w:val="24"/>
          <w:highlight w:val="none"/>
          <w:lang w:val="en-US" w:eastAsia="zh-CN"/>
        </w:rPr>
        <w:t>的标段或项目</w:t>
      </w:r>
      <w:r>
        <w:rPr>
          <w:rFonts w:ascii="宋体" w:hAnsi="宋体" w:eastAsia="宋体" w:cs="宋体"/>
          <w:b/>
          <w:color w:val="auto"/>
          <w:sz w:val="24"/>
          <w:highlight w:val="none"/>
          <w:lang w:eastAsia="zh-CN"/>
        </w:rPr>
        <w:t>，执行以下相关政策：</w:t>
      </w:r>
    </w:p>
    <w:p w14:paraId="2EF8342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根据《政府采购促进中小企业发展管理办法》（财库﹝</w:t>
      </w:r>
      <w:r>
        <w:rPr>
          <w:rFonts w:ascii="宋体" w:hAnsi="宋体" w:eastAsia="宋体" w:cs="宋体"/>
          <w:color w:val="auto"/>
          <w:sz w:val="24"/>
          <w:highlight w:val="none"/>
          <w:lang w:eastAsia="zh-CN"/>
        </w:rPr>
        <w:t>2020﹞46号）</w:t>
      </w:r>
      <w:r>
        <w:rPr>
          <w:rFonts w:hint="eastAsia" w:ascii="宋体" w:hAnsi="宋体" w:eastAsia="宋体" w:cs="宋体"/>
          <w:color w:val="auto"/>
          <w:sz w:val="24"/>
          <w:highlight w:val="none"/>
          <w:lang w:eastAsia="zh-CN"/>
        </w:rPr>
        <w:t>规定，</w:t>
      </w:r>
      <w:r>
        <w:rPr>
          <w:rFonts w:ascii="宋体" w:hAnsi="宋体" w:eastAsia="宋体" w:cs="宋体"/>
          <w:color w:val="auto"/>
          <w:sz w:val="24"/>
          <w:highlight w:val="none"/>
          <w:lang w:eastAsia="zh-CN"/>
        </w:rPr>
        <w:t>第二条 本办法所称中小企业，是指在中华人民共和国境内依法设立，依据国务院批准的中小企业划分标准确定的中型企业、小型企业和微型企业，</w:t>
      </w:r>
      <w:r>
        <w:rPr>
          <w:rFonts w:ascii="宋体" w:hAnsi="宋体" w:eastAsia="宋体" w:cs="宋体"/>
          <w:b/>
          <w:bCs/>
          <w:color w:val="auto"/>
          <w:sz w:val="24"/>
          <w:highlight w:val="none"/>
          <w:lang w:eastAsia="zh-CN"/>
        </w:rPr>
        <w:t>但与大企业的负责人为同一人，或者与大企业存在直接控股、管理关系的除外</w:t>
      </w:r>
      <w:r>
        <w:rPr>
          <w:rFonts w:ascii="宋体" w:hAnsi="宋体" w:eastAsia="宋体" w:cs="宋体"/>
          <w:color w:val="auto"/>
          <w:sz w:val="24"/>
          <w:highlight w:val="none"/>
          <w:lang w:eastAsia="zh-CN"/>
        </w:rPr>
        <w:t>。符合中小企业划分标准的个体工商户，在政府采购活动中视同中小企业。</w:t>
      </w:r>
    </w:p>
    <w:p w14:paraId="2CD8323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color w:val="auto"/>
          <w:highlight w:val="none"/>
          <w:lang w:eastAsia="zh-CN"/>
        </w:rPr>
      </w:pPr>
      <w:r>
        <w:rPr>
          <w:rFonts w:ascii="宋体" w:hAnsi="宋体" w:eastAsia="宋体" w:cs="宋体"/>
          <w:color w:val="auto"/>
          <w:sz w:val="24"/>
          <w:highlight w:val="none"/>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auto"/>
          <w:sz w:val="24"/>
          <w:highlight w:val="none"/>
          <w:lang w:eastAsia="zh-CN"/>
        </w:rPr>
        <w:t>否则视为投标无效。</w:t>
      </w:r>
    </w:p>
    <w:p w14:paraId="3FC0C98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outlineLvl w:val="4"/>
        <w:rPr>
          <w:color w:val="auto"/>
          <w:highlight w:val="none"/>
          <w:lang w:eastAsia="zh-CN"/>
        </w:rPr>
      </w:pPr>
      <w:r>
        <w:rPr>
          <w:rFonts w:ascii="宋体" w:hAnsi="宋体" w:eastAsia="宋体" w:cs="宋体"/>
          <w:color w:val="auto"/>
          <w:sz w:val="24"/>
          <w:highlight w:val="none"/>
          <w:lang w:eastAsia="zh-CN"/>
        </w:rPr>
        <w:t>3</w:t>
      </w:r>
      <w:r>
        <w:rPr>
          <w:rFonts w:hint="eastAsia" w:ascii="宋体" w:hAnsi="宋体" w:eastAsia="宋体" w:cs="宋体"/>
          <w:color w:val="auto"/>
          <w:sz w:val="24"/>
          <w:highlight w:val="none"/>
          <w:lang w:val="en-US" w:eastAsia="zh-CN"/>
        </w:rPr>
        <w:t>5</w:t>
      </w:r>
      <w:r>
        <w:rPr>
          <w:rFonts w:ascii="宋体" w:hAnsi="宋体" w:eastAsia="宋体" w:cs="宋体"/>
          <w:color w:val="auto"/>
          <w:sz w:val="24"/>
          <w:highlight w:val="none"/>
          <w:lang w:eastAsia="zh-CN"/>
        </w:rPr>
        <w:t>.1.1中小企业划分：</w:t>
      </w:r>
    </w:p>
    <w:p w14:paraId="689DEA3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color w:val="auto"/>
          <w:highlight w:val="none"/>
          <w:lang w:eastAsia="zh-CN"/>
        </w:rPr>
      </w:pPr>
      <w:r>
        <w:rPr>
          <w:rFonts w:ascii="宋体" w:hAnsi="宋体" w:eastAsia="宋体" w:cs="宋体"/>
          <w:color w:val="auto"/>
          <w:sz w:val="24"/>
          <w:highlight w:val="none"/>
          <w:lang w:eastAsia="zh-CN"/>
        </w:rPr>
        <w:t>（1）符合中小企业划分标准的个体工商户，在政府采购活动中视同中小企业。</w:t>
      </w:r>
    </w:p>
    <w:p w14:paraId="1629955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color w:val="auto"/>
          <w:highlight w:val="none"/>
          <w:lang w:eastAsia="zh-CN"/>
        </w:rPr>
      </w:pPr>
      <w:r>
        <w:rPr>
          <w:rFonts w:ascii="宋体" w:hAnsi="宋体" w:eastAsia="宋体" w:cs="宋体"/>
          <w:color w:val="auto"/>
          <w:sz w:val="24"/>
          <w:highlight w:val="none"/>
          <w:lang w:eastAsia="zh-CN"/>
        </w:rPr>
        <w:t>（2）中小企业划分标准详见“工信部联企业〔2011〕300号通知”</w:t>
      </w:r>
    </w:p>
    <w:p w14:paraId="6359679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outlineLvl w:val="4"/>
        <w:rPr>
          <w:color w:val="auto"/>
          <w:highlight w:val="none"/>
          <w:lang w:eastAsia="zh-CN"/>
        </w:rPr>
      </w:pPr>
      <w:r>
        <w:rPr>
          <w:rFonts w:ascii="宋体" w:hAnsi="宋体" w:eastAsia="宋体" w:cs="宋体"/>
          <w:color w:val="auto"/>
          <w:sz w:val="24"/>
          <w:highlight w:val="none"/>
          <w:lang w:eastAsia="zh-CN"/>
        </w:rPr>
        <w:t>3</w:t>
      </w:r>
      <w:r>
        <w:rPr>
          <w:rFonts w:hint="eastAsia" w:ascii="宋体" w:hAnsi="宋体" w:eastAsia="宋体" w:cs="宋体"/>
          <w:color w:val="auto"/>
          <w:sz w:val="24"/>
          <w:highlight w:val="none"/>
          <w:lang w:val="en-US" w:eastAsia="zh-CN"/>
        </w:rPr>
        <w:t>5</w:t>
      </w:r>
      <w:r>
        <w:rPr>
          <w:rFonts w:ascii="宋体" w:hAnsi="宋体" w:eastAsia="宋体" w:cs="宋体"/>
          <w:color w:val="auto"/>
          <w:sz w:val="24"/>
          <w:highlight w:val="none"/>
          <w:lang w:eastAsia="zh-CN"/>
        </w:rPr>
        <w:t>.1.2残疾人福利性单位政策：</w:t>
      </w:r>
    </w:p>
    <w:p w14:paraId="5012898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color w:val="auto"/>
          <w:highlight w:val="none"/>
          <w:lang w:eastAsia="zh-CN"/>
        </w:rPr>
      </w:pPr>
      <w:r>
        <w:rPr>
          <w:rFonts w:ascii="宋体" w:hAnsi="宋体" w:eastAsia="宋体" w:cs="宋体"/>
          <w:color w:val="auto"/>
          <w:sz w:val="24"/>
          <w:highlight w:val="none"/>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5FA4C02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outlineLvl w:val="4"/>
        <w:rPr>
          <w:color w:val="auto"/>
          <w:highlight w:val="none"/>
          <w:lang w:eastAsia="zh-CN"/>
        </w:rPr>
      </w:pPr>
      <w:r>
        <w:rPr>
          <w:rFonts w:ascii="宋体" w:hAnsi="宋体" w:eastAsia="宋体" w:cs="宋体"/>
          <w:color w:val="auto"/>
          <w:sz w:val="24"/>
          <w:highlight w:val="none"/>
          <w:lang w:eastAsia="zh-CN"/>
        </w:rPr>
        <w:t>3</w:t>
      </w:r>
      <w:r>
        <w:rPr>
          <w:rFonts w:hint="eastAsia" w:ascii="宋体" w:hAnsi="宋体" w:eastAsia="宋体" w:cs="宋体"/>
          <w:color w:val="auto"/>
          <w:sz w:val="24"/>
          <w:highlight w:val="none"/>
          <w:lang w:val="en-US" w:eastAsia="zh-CN"/>
        </w:rPr>
        <w:t>5</w:t>
      </w:r>
      <w:r>
        <w:rPr>
          <w:rFonts w:ascii="宋体" w:hAnsi="宋体" w:eastAsia="宋体" w:cs="宋体"/>
          <w:color w:val="auto"/>
          <w:sz w:val="24"/>
          <w:highlight w:val="none"/>
          <w:lang w:eastAsia="zh-CN"/>
        </w:rPr>
        <w:t>.1.3监狱企业发展政策：</w:t>
      </w:r>
    </w:p>
    <w:p w14:paraId="07CE87C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color w:val="auto"/>
          <w:highlight w:val="none"/>
          <w:lang w:eastAsia="zh-CN"/>
        </w:rPr>
      </w:pPr>
      <w:r>
        <w:rPr>
          <w:rFonts w:ascii="宋体" w:hAnsi="宋体" w:eastAsia="宋体" w:cs="宋体"/>
          <w:color w:val="auto"/>
          <w:sz w:val="24"/>
          <w:highlight w:val="none"/>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2B1899D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color w:val="auto"/>
          <w:highlight w:val="none"/>
          <w:lang w:eastAsia="zh-CN"/>
        </w:rPr>
      </w:pPr>
      <w:r>
        <w:rPr>
          <w:rFonts w:ascii="宋体" w:hAnsi="宋体" w:eastAsia="宋体" w:cs="宋体"/>
          <w:color w:val="auto"/>
          <w:sz w:val="24"/>
          <w:highlight w:val="none"/>
          <w:lang w:eastAsia="zh-CN"/>
        </w:rPr>
        <w:t>3</w:t>
      </w:r>
      <w:r>
        <w:rPr>
          <w:rFonts w:hint="eastAsia" w:ascii="宋体" w:hAnsi="宋体" w:eastAsia="宋体" w:cs="宋体"/>
          <w:color w:val="auto"/>
          <w:sz w:val="24"/>
          <w:highlight w:val="none"/>
          <w:lang w:val="en-US" w:eastAsia="zh-CN"/>
        </w:rPr>
        <w:t>5</w:t>
      </w:r>
      <w:r>
        <w:rPr>
          <w:rFonts w:ascii="宋体" w:hAnsi="宋体" w:eastAsia="宋体" w:cs="宋体"/>
          <w:color w:val="auto"/>
          <w:sz w:val="24"/>
          <w:highlight w:val="none"/>
          <w:lang w:eastAsia="zh-CN"/>
        </w:rPr>
        <w:t>.1.4中标、成交供应商享受规定的中小企业扶持政策的，其声明函及相关证明材料应当随中标、成交结果同时公告，接受社会监督。</w:t>
      </w:r>
    </w:p>
    <w:p w14:paraId="6000BF2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color w:val="auto"/>
          <w:highlight w:val="none"/>
          <w:lang w:eastAsia="zh-CN"/>
        </w:rPr>
      </w:pPr>
      <w:r>
        <w:rPr>
          <w:rFonts w:ascii="宋体" w:hAnsi="宋体" w:eastAsia="宋体" w:cs="宋体"/>
          <w:color w:val="auto"/>
          <w:sz w:val="24"/>
          <w:highlight w:val="none"/>
          <w:lang w:eastAsia="zh-CN"/>
        </w:rPr>
        <w:t>3</w:t>
      </w:r>
      <w:r>
        <w:rPr>
          <w:rFonts w:hint="eastAsia" w:ascii="宋体" w:hAnsi="宋体" w:eastAsia="宋体" w:cs="宋体"/>
          <w:color w:val="auto"/>
          <w:sz w:val="24"/>
          <w:highlight w:val="none"/>
          <w:lang w:val="en-US" w:eastAsia="zh-CN"/>
        </w:rPr>
        <w:t>5</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ascii="宋体" w:hAnsi="宋体" w:eastAsia="宋体" w:cs="宋体"/>
          <w:b/>
          <w:color w:val="auto"/>
          <w:sz w:val="24"/>
          <w:highlight w:val="none"/>
          <w:lang w:eastAsia="zh-CN"/>
        </w:rPr>
        <w:t>专门面向中小企业采购的</w:t>
      </w:r>
      <w:r>
        <w:rPr>
          <w:rFonts w:hint="eastAsia" w:ascii="宋体" w:hAnsi="宋体" w:eastAsia="宋体" w:cs="宋体"/>
          <w:b/>
          <w:color w:val="auto"/>
          <w:sz w:val="24"/>
          <w:highlight w:val="none"/>
          <w:lang w:val="en-US" w:eastAsia="zh-CN"/>
        </w:rPr>
        <w:t>标段或</w:t>
      </w:r>
      <w:r>
        <w:rPr>
          <w:rFonts w:ascii="宋体" w:hAnsi="宋体" w:eastAsia="宋体" w:cs="宋体"/>
          <w:b/>
          <w:color w:val="auto"/>
          <w:sz w:val="24"/>
          <w:highlight w:val="none"/>
          <w:lang w:eastAsia="zh-CN"/>
        </w:rPr>
        <w:t>项目，不再执行价格评审优惠的扶持政策。</w:t>
      </w:r>
    </w:p>
    <w:p w14:paraId="76BAA13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rFonts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36、</w:t>
      </w:r>
      <w:r>
        <w:rPr>
          <w:rFonts w:hint="eastAsia" w:ascii="宋体" w:hAnsi="宋体" w:eastAsia="宋体" w:cs="宋体"/>
          <w:b/>
          <w:bCs/>
          <w:color w:val="auto"/>
          <w:sz w:val="24"/>
          <w:highlight w:val="none"/>
          <w:lang w:eastAsia="zh-CN"/>
        </w:rPr>
        <w:t>节能产品和环境标志产品</w:t>
      </w:r>
    </w:p>
    <w:p w14:paraId="0B1A09A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60" w:lineRule="exact"/>
        <w:ind w:firstLine="480"/>
        <w:jc w:val="both"/>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color w:val="auto"/>
          <w:sz w:val="24"/>
          <w:highlight w:val="none"/>
          <w:lang w:eastAsia="zh-CN"/>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355737B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2" w:firstLineChars="200"/>
        <w:textAlignment w:val="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37.绿色数据中心政策</w:t>
      </w:r>
    </w:p>
    <w:p w14:paraId="284F598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67CB10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textAlignment w:val="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38.商品包装、快递包装政策</w:t>
      </w:r>
    </w:p>
    <w:p w14:paraId="20E86C1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3F968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textAlignment w:val="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九、其他事项</w:t>
      </w:r>
    </w:p>
    <w:p w14:paraId="7BE18F9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textAlignment w:val="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39. 监督和公证</w:t>
      </w:r>
    </w:p>
    <w:p w14:paraId="1761C41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36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39.1政府有关监督部门将对招投标全过程进行监督。</w:t>
      </w:r>
    </w:p>
    <w:p w14:paraId="5D7E590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36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39.2采购代理机构的招标过程将通过公证机关进行公证。</w:t>
      </w:r>
    </w:p>
    <w:p w14:paraId="2BFFEB9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textAlignment w:val="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40.未尽事宜</w:t>
      </w:r>
    </w:p>
    <w:p w14:paraId="2D00D28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60" w:lineRule="exact"/>
        <w:ind w:firstLine="36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40.1按《中华人民共和国政府采购法》及其他有关法律法规的规定执行。</w:t>
      </w:r>
    </w:p>
    <w:p w14:paraId="271FEC38">
      <w:pPr>
        <w:ind w:firstLine="883"/>
        <w:rPr>
          <w:rFonts w:hint="eastAsia" w:ascii="宋体" w:hAnsi="宋体" w:cs="宋体"/>
          <w:b/>
          <w:color w:val="auto"/>
          <w:sz w:val="44"/>
          <w:highlight w:val="none"/>
        </w:rPr>
      </w:pPr>
    </w:p>
    <w:p w14:paraId="0B62F083">
      <w:pPr>
        <w:ind w:firstLine="883"/>
        <w:rPr>
          <w:rFonts w:hint="eastAsia" w:ascii="宋体" w:hAnsi="宋体" w:cs="宋体"/>
          <w:b/>
          <w:color w:val="auto"/>
          <w:sz w:val="44"/>
          <w:highlight w:val="none"/>
        </w:rPr>
      </w:pPr>
    </w:p>
    <w:p w14:paraId="3671E2A6">
      <w:pPr>
        <w:ind w:firstLine="883"/>
        <w:rPr>
          <w:rFonts w:hint="eastAsia" w:ascii="宋体" w:hAnsi="宋体" w:cs="宋体"/>
          <w:b/>
          <w:color w:val="auto"/>
          <w:sz w:val="44"/>
          <w:highlight w:val="none"/>
        </w:rPr>
      </w:pPr>
    </w:p>
    <w:p w14:paraId="5204D0E8">
      <w:pPr>
        <w:ind w:firstLine="883"/>
        <w:rPr>
          <w:rFonts w:hint="eastAsia" w:ascii="宋体" w:hAnsi="宋体" w:cs="宋体"/>
          <w:b/>
          <w:color w:val="auto"/>
          <w:sz w:val="44"/>
          <w:highlight w:val="none"/>
        </w:rPr>
      </w:pPr>
    </w:p>
    <w:p w14:paraId="562820D1">
      <w:pPr>
        <w:ind w:firstLine="883"/>
        <w:rPr>
          <w:rFonts w:hint="eastAsia" w:ascii="宋体" w:hAnsi="宋体" w:cs="宋体"/>
          <w:b/>
          <w:color w:val="auto"/>
          <w:sz w:val="44"/>
          <w:highlight w:val="none"/>
        </w:rPr>
      </w:pPr>
    </w:p>
    <w:p w14:paraId="6B36F99A">
      <w:pPr>
        <w:pStyle w:val="24"/>
        <w:rPr>
          <w:rFonts w:hint="eastAsia"/>
          <w:color w:val="auto"/>
          <w:highlight w:val="none"/>
        </w:rPr>
      </w:pPr>
    </w:p>
    <w:p w14:paraId="4C99C28F">
      <w:pPr>
        <w:ind w:firstLine="883"/>
        <w:rPr>
          <w:rFonts w:hint="eastAsia" w:ascii="宋体" w:hAnsi="宋体" w:cs="宋体"/>
          <w:b/>
          <w:color w:val="auto"/>
          <w:sz w:val="44"/>
          <w:highlight w:val="none"/>
        </w:rPr>
      </w:pPr>
    </w:p>
    <w:p w14:paraId="35A616F6">
      <w:pPr>
        <w:ind w:firstLine="883"/>
        <w:rPr>
          <w:rFonts w:hint="eastAsia" w:ascii="宋体" w:hAnsi="宋体" w:cs="宋体"/>
          <w:b/>
          <w:color w:val="auto"/>
          <w:sz w:val="44"/>
          <w:highlight w:val="none"/>
        </w:rPr>
      </w:pPr>
    </w:p>
    <w:p w14:paraId="5B34E3F3">
      <w:pPr>
        <w:ind w:firstLine="0"/>
        <w:rPr>
          <w:rFonts w:hint="eastAsia" w:ascii="宋体" w:hAnsi="宋体" w:cs="宋体"/>
          <w:b/>
          <w:color w:val="auto"/>
          <w:sz w:val="44"/>
          <w:highlight w:val="none"/>
        </w:rPr>
      </w:pPr>
      <w:r>
        <w:rPr>
          <w:rFonts w:hint="eastAsia" w:ascii="宋体" w:hAnsi="宋体" w:cs="宋体"/>
          <w:b/>
          <w:color w:val="auto"/>
          <w:sz w:val="44"/>
          <w:highlight w:val="none"/>
        </w:rPr>
        <w:br w:type="page"/>
      </w:r>
    </w:p>
    <w:p w14:paraId="455BC737">
      <w:pPr>
        <w:ind w:firstLine="883"/>
        <w:rPr>
          <w:rFonts w:hint="eastAsia" w:ascii="宋体" w:hAnsi="宋体" w:cs="宋体"/>
          <w:color w:val="auto"/>
          <w:sz w:val="36"/>
          <w:szCs w:val="36"/>
          <w:highlight w:val="none"/>
        </w:rPr>
      </w:pPr>
      <w:r>
        <w:rPr>
          <w:rFonts w:hint="eastAsia" w:ascii="宋体" w:hAnsi="宋体" w:cs="宋体"/>
          <w:b/>
          <w:color w:val="auto"/>
          <w:sz w:val="44"/>
          <w:highlight w:val="none"/>
        </w:rPr>
        <w:t>第三部分 单一来源采购文件需求</w:t>
      </w:r>
    </w:p>
    <w:p w14:paraId="5D1FAD8E">
      <w:pPr>
        <w:pStyle w:val="3"/>
        <w:numPr>
          <w:ilvl w:val="0"/>
          <w:numId w:val="0"/>
        </w:numPr>
        <w:spacing w:before="0" w:after="0" w:line="480" w:lineRule="exact"/>
        <w:rPr>
          <w:rFonts w:hint="eastAsia" w:ascii="宋体" w:hAnsi="宋体" w:cs="宋体"/>
          <w:color w:val="auto"/>
          <w:sz w:val="24"/>
          <w:szCs w:val="24"/>
          <w:highlight w:val="none"/>
        </w:rPr>
      </w:pPr>
      <w:bookmarkStart w:id="6" w:name="_Toc13642116"/>
    </w:p>
    <w:p w14:paraId="7294CCCE">
      <w:pPr>
        <w:pStyle w:val="3"/>
        <w:numPr>
          <w:ilvl w:val="0"/>
          <w:numId w:val="0"/>
        </w:numPr>
        <w:spacing w:before="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一、建设背景</w:t>
      </w:r>
    </w:p>
    <w:p w14:paraId="67D24260">
      <w:p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为深入贯彻国家关于信息技术应用创新的战略部署，落实江苏省及苏州市关于政务信息系统国产化改造与政务云迁移的工作要求，</w:t>
      </w:r>
      <w:r>
        <w:rPr>
          <w:rFonts w:hint="eastAsia" w:ascii="宋体" w:hAnsi="宋体" w:cs="宋体"/>
          <w:color w:val="auto"/>
          <w:szCs w:val="24"/>
          <w:highlight w:val="none"/>
          <w:lang w:val="en-US" w:eastAsia="zh-CN"/>
        </w:rPr>
        <w:t>江苏太仓港口管理委员会按计划</w:t>
      </w:r>
      <w:r>
        <w:rPr>
          <w:rFonts w:ascii="宋体" w:hAnsi="宋体" w:cs="宋体"/>
          <w:color w:val="auto"/>
          <w:szCs w:val="24"/>
          <w:highlight w:val="none"/>
        </w:rPr>
        <w:t>对</w:t>
      </w:r>
      <w:r>
        <w:rPr>
          <w:rFonts w:hint="eastAsia" w:ascii="宋体" w:hAnsi="宋体" w:cs="宋体"/>
          <w:color w:val="auto"/>
          <w:szCs w:val="24"/>
          <w:highlight w:val="none"/>
          <w:lang w:val="en-US" w:eastAsia="zh-CN"/>
        </w:rPr>
        <w:t>苏州港</w:t>
      </w:r>
      <w:r>
        <w:rPr>
          <w:rFonts w:ascii="宋体" w:hAnsi="宋体" w:cs="宋体"/>
          <w:color w:val="auto"/>
          <w:szCs w:val="24"/>
          <w:highlight w:val="none"/>
        </w:rPr>
        <w:t>船舶</w:t>
      </w:r>
      <w:r>
        <w:rPr>
          <w:rFonts w:hint="eastAsia" w:ascii="宋体" w:hAnsi="宋体" w:cs="宋体"/>
          <w:color w:val="auto"/>
          <w:szCs w:val="24"/>
          <w:highlight w:val="none"/>
          <w:lang w:val="en-US" w:eastAsia="zh-CN"/>
        </w:rPr>
        <w:t>服务平台</w:t>
      </w:r>
      <w:r>
        <w:rPr>
          <w:rFonts w:ascii="宋体" w:hAnsi="宋体" w:cs="宋体"/>
          <w:color w:val="auto"/>
          <w:szCs w:val="24"/>
          <w:highlight w:val="none"/>
        </w:rPr>
        <w:t>进行</w:t>
      </w:r>
      <w:r>
        <w:rPr>
          <w:rFonts w:hint="eastAsia" w:ascii="宋体" w:hAnsi="宋体" w:cs="宋体"/>
          <w:color w:val="auto"/>
          <w:szCs w:val="24"/>
          <w:highlight w:val="none"/>
          <w:lang w:val="en-US" w:eastAsia="zh-CN"/>
        </w:rPr>
        <w:t>国产化</w:t>
      </w:r>
      <w:r>
        <w:rPr>
          <w:rFonts w:ascii="宋体" w:hAnsi="宋体" w:cs="宋体"/>
          <w:color w:val="auto"/>
          <w:szCs w:val="24"/>
          <w:highlight w:val="none"/>
        </w:rPr>
        <w:t>升级改造。</w:t>
      </w:r>
    </w:p>
    <w:p w14:paraId="74863CA8">
      <w:p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现有</w:t>
      </w:r>
      <w:r>
        <w:rPr>
          <w:rFonts w:hint="eastAsia" w:ascii="宋体" w:hAnsi="宋体" w:cs="宋体"/>
          <w:color w:val="auto"/>
          <w:szCs w:val="24"/>
          <w:highlight w:val="none"/>
          <w:lang w:val="en-US" w:eastAsia="zh-CN"/>
        </w:rPr>
        <w:t>苏州港船舶服务平台</w:t>
      </w:r>
      <w:r>
        <w:rPr>
          <w:rFonts w:ascii="宋体" w:hAnsi="宋体" w:cs="宋体"/>
          <w:color w:val="auto"/>
          <w:szCs w:val="24"/>
          <w:highlight w:val="none"/>
        </w:rPr>
        <w:t>已实现船舶报港、</w:t>
      </w:r>
      <w:r>
        <w:rPr>
          <w:rFonts w:hint="eastAsia" w:ascii="宋体" w:hAnsi="宋体" w:cs="宋体"/>
          <w:color w:val="auto"/>
          <w:szCs w:val="24"/>
          <w:highlight w:val="none"/>
          <w:lang w:val="en-US" w:eastAsia="zh-CN"/>
        </w:rPr>
        <w:t>船舶港航服务申请、</w:t>
      </w:r>
      <w:r>
        <w:rPr>
          <w:rFonts w:ascii="宋体" w:hAnsi="宋体" w:cs="宋体"/>
          <w:color w:val="auto"/>
          <w:szCs w:val="24"/>
          <w:highlight w:val="none"/>
        </w:rPr>
        <w:t>装卸清单上传、靠离泊管理等核心业务功能，技术架构采用 VUE 前端框架、Java 后端（Spring Boot）及 MySQL 数据库。但随着政务信息化国产化进程加速，系统存在三方面适配需求：一是需迁移至苏州市政务云环境，实现政务资源集约化管理；二是数据库需替换为国产达梦数据库，符合安全规范；三是系统中部分基于.NET 开发的功能模块与现有 Java 技术体系存在兼容性差异，需改造为 Java 技术栈，保障系统架构一致性与可维护性。</w:t>
      </w:r>
    </w:p>
    <w:p w14:paraId="1250A473">
      <w:p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通过本次改造，可解决系统技术栈异构、数据库非国产化、部署环境分散等问题，提升系统安全性、稳定性与合规性，为苏州港智慧化管理提供可靠技术支撑。</w:t>
      </w:r>
    </w:p>
    <w:p w14:paraId="2EA165A9">
      <w:pPr>
        <w:pStyle w:val="3"/>
        <w:numPr>
          <w:ilvl w:val="0"/>
          <w:numId w:val="0"/>
        </w:numPr>
        <w:spacing w:before="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二、建设目标</w:t>
      </w:r>
    </w:p>
    <w:p w14:paraId="09EA020C">
      <w:pPr>
        <w:spacing w:line="480" w:lineRule="exact"/>
        <w:ind w:left="0" w:firstLine="480" w:firstLineChars="200"/>
        <w:rPr>
          <w:rFonts w:hint="eastAsia" w:ascii="宋体" w:hAnsi="宋体" w:cs="宋体"/>
          <w:color w:val="auto"/>
          <w:szCs w:val="24"/>
          <w:highlight w:val="none"/>
        </w:rPr>
      </w:pPr>
      <w:r>
        <w:rPr>
          <w:rFonts w:hint="eastAsia" w:ascii="宋体" w:hAnsi="宋体" w:cs="宋体"/>
          <w:color w:val="auto"/>
          <w:szCs w:val="24"/>
          <w:highlight w:val="none"/>
        </w:rPr>
        <w:t>1.</w:t>
      </w:r>
      <w:r>
        <w:rPr>
          <w:rFonts w:ascii="宋体" w:hAnsi="宋体" w:cs="宋体"/>
          <w:color w:val="auto"/>
          <w:szCs w:val="24"/>
          <w:highlight w:val="none"/>
        </w:rPr>
        <w:t>环境迁移目标：完成船舶调度系统从现有环境到苏州市政务云的全量迁移，符合政务云资源调度、安全管理及运维规范，实现系统部署环境的国产化与集约化</w:t>
      </w:r>
      <w:r>
        <w:rPr>
          <w:rFonts w:hint="eastAsia" w:ascii="宋体" w:hAnsi="宋体" w:cs="宋体"/>
          <w:color w:val="auto"/>
          <w:szCs w:val="24"/>
          <w:highlight w:val="none"/>
        </w:rPr>
        <w:t>；</w:t>
      </w:r>
    </w:p>
    <w:p w14:paraId="299C3B34">
      <w:pPr>
        <w:spacing w:line="480" w:lineRule="exact"/>
        <w:ind w:left="0" w:firstLine="480" w:firstLineChars="200"/>
        <w:rPr>
          <w:rFonts w:hint="eastAsia" w:ascii="宋体" w:hAnsi="宋体" w:cs="宋体"/>
          <w:color w:val="auto"/>
          <w:szCs w:val="24"/>
          <w:highlight w:val="none"/>
        </w:rPr>
      </w:pPr>
      <w:r>
        <w:rPr>
          <w:rFonts w:hint="eastAsia" w:ascii="宋体" w:hAnsi="宋体" w:cs="宋体"/>
          <w:color w:val="auto"/>
          <w:szCs w:val="24"/>
          <w:highlight w:val="none"/>
        </w:rPr>
        <w:t>2.</w:t>
      </w:r>
      <w:r>
        <w:rPr>
          <w:rFonts w:ascii="宋体" w:hAnsi="宋体" w:cs="宋体"/>
          <w:color w:val="auto"/>
          <w:szCs w:val="24"/>
          <w:highlight w:val="none"/>
        </w:rPr>
        <w:t>数据库替换目标：将现有 MySQL 数据库平滑迁移至达梦数据库，确保数据完整性、一致性与业务连续性，适配达梦数据库的SQL语法、事务机制及存储特性</w:t>
      </w:r>
      <w:r>
        <w:rPr>
          <w:rFonts w:hint="eastAsia" w:ascii="宋体" w:hAnsi="宋体" w:cs="宋体"/>
          <w:color w:val="auto"/>
          <w:szCs w:val="24"/>
          <w:highlight w:val="none"/>
        </w:rPr>
        <w:t>；</w:t>
      </w:r>
    </w:p>
    <w:p w14:paraId="23530655">
      <w:pPr>
        <w:spacing w:line="480" w:lineRule="exact"/>
        <w:ind w:left="0" w:firstLine="480" w:firstLineChars="200"/>
        <w:rPr>
          <w:rFonts w:hint="eastAsia" w:ascii="宋体" w:hAnsi="宋体" w:cs="宋体"/>
          <w:color w:val="auto"/>
          <w:szCs w:val="24"/>
          <w:highlight w:val="none"/>
        </w:rPr>
      </w:pPr>
      <w:r>
        <w:rPr>
          <w:rFonts w:hint="eastAsia" w:ascii="宋体" w:hAnsi="宋体" w:cs="宋体"/>
          <w:color w:val="auto"/>
          <w:szCs w:val="24"/>
          <w:highlight w:val="none"/>
        </w:rPr>
        <w:t>3.</w:t>
      </w:r>
      <w:r>
        <w:rPr>
          <w:rFonts w:ascii="宋体" w:hAnsi="宋体" w:cs="宋体"/>
          <w:color w:val="auto"/>
          <w:szCs w:val="24"/>
          <w:highlight w:val="none"/>
        </w:rPr>
        <w:t>技术栈统一目标：将原有基于.NET 开发的业务功能模块（如“</w:t>
      </w:r>
      <w:r>
        <w:rPr>
          <w:rFonts w:hint="eastAsia" w:ascii="宋体" w:hAnsi="宋体" w:cs="宋体"/>
          <w:color w:val="auto"/>
          <w:szCs w:val="24"/>
          <w:highlight w:val="none"/>
        </w:rPr>
        <w:t>引航接口服务</w:t>
      </w:r>
      <w:r>
        <w:rPr>
          <w:rFonts w:ascii="宋体" w:hAnsi="宋体" w:cs="宋体"/>
          <w:color w:val="auto"/>
          <w:szCs w:val="24"/>
          <w:highlight w:val="none"/>
        </w:rPr>
        <w:t>”</w:t>
      </w:r>
      <w:r>
        <w:rPr>
          <w:rFonts w:hint="eastAsia" w:ascii="宋体" w:hAnsi="宋体" w:cs="宋体"/>
          <w:color w:val="auto"/>
          <w:szCs w:val="24"/>
          <w:highlight w:val="none"/>
        </w:rPr>
        <w:t>、</w:t>
      </w:r>
      <w:r>
        <w:rPr>
          <w:rFonts w:ascii="宋体" w:hAnsi="宋体" w:cs="宋体"/>
          <w:color w:val="auto"/>
          <w:szCs w:val="24"/>
          <w:highlight w:val="none"/>
        </w:rPr>
        <w:t>“</w:t>
      </w:r>
      <w:r>
        <w:rPr>
          <w:rFonts w:hint="eastAsia" w:ascii="宋体" w:hAnsi="宋体" w:cs="宋体"/>
          <w:color w:val="auto"/>
          <w:szCs w:val="24"/>
          <w:highlight w:val="none"/>
        </w:rPr>
        <w:t>任务定时器</w:t>
      </w:r>
      <w:r>
        <w:rPr>
          <w:rFonts w:ascii="宋体" w:hAnsi="宋体" w:cs="宋体"/>
          <w:color w:val="auto"/>
          <w:szCs w:val="24"/>
          <w:highlight w:val="none"/>
        </w:rPr>
        <w:t>”等）改造为 Java 技术栈，基于Spring Boot框架重构，实现前后端技术架构统一</w:t>
      </w:r>
      <w:r>
        <w:rPr>
          <w:rFonts w:hint="eastAsia" w:ascii="宋体" w:hAnsi="宋体" w:cs="宋体"/>
          <w:color w:val="auto"/>
          <w:szCs w:val="24"/>
          <w:highlight w:val="none"/>
        </w:rPr>
        <w:t>；</w:t>
      </w:r>
    </w:p>
    <w:p w14:paraId="3BE116AC">
      <w:pPr>
        <w:spacing w:line="480" w:lineRule="exact"/>
        <w:ind w:left="0" w:firstLine="480" w:firstLineChars="200"/>
        <w:rPr>
          <w:rFonts w:hint="eastAsia" w:ascii="宋体" w:hAnsi="宋体" w:cs="宋体"/>
          <w:color w:val="auto"/>
          <w:szCs w:val="24"/>
          <w:highlight w:val="none"/>
        </w:rPr>
      </w:pPr>
      <w:r>
        <w:rPr>
          <w:rFonts w:hint="eastAsia" w:ascii="宋体" w:hAnsi="宋体" w:cs="宋体"/>
          <w:color w:val="auto"/>
          <w:szCs w:val="24"/>
          <w:highlight w:val="none"/>
        </w:rPr>
        <w:t>4.</w:t>
      </w:r>
      <w:r>
        <w:rPr>
          <w:rFonts w:ascii="宋体" w:hAnsi="宋体" w:cs="宋体"/>
          <w:color w:val="auto"/>
          <w:szCs w:val="24"/>
          <w:highlight w:val="none"/>
        </w:rPr>
        <w:t>功能与性能保障目标：改造后系统核心业务功能（报港、靠离泊、</w:t>
      </w:r>
      <w:r>
        <w:rPr>
          <w:rFonts w:hint="eastAsia" w:ascii="宋体" w:hAnsi="宋体" w:cs="宋体"/>
          <w:color w:val="auto"/>
          <w:szCs w:val="24"/>
          <w:highlight w:val="none"/>
        </w:rPr>
        <w:t>开完工</w:t>
      </w:r>
      <w:r>
        <w:rPr>
          <w:rFonts w:ascii="宋体" w:hAnsi="宋体" w:cs="宋体"/>
          <w:color w:val="auto"/>
          <w:szCs w:val="24"/>
          <w:highlight w:val="none"/>
        </w:rPr>
        <w:t>等）不受影响，响应时间、并发处理能力等性能指标不低于改造前水平。</w:t>
      </w:r>
    </w:p>
    <w:p w14:paraId="52AED8DD">
      <w:pPr>
        <w:pStyle w:val="3"/>
        <w:numPr>
          <w:ilvl w:val="0"/>
          <w:numId w:val="0"/>
        </w:numPr>
        <w:spacing w:before="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三、建设依据</w:t>
      </w:r>
    </w:p>
    <w:p w14:paraId="288C32E0">
      <w:pPr>
        <w:numPr>
          <w:ilvl w:val="0"/>
          <w:numId w:val="0"/>
        </w:numPr>
        <w:spacing w:line="480" w:lineRule="exact"/>
        <w:ind w:left="0" w:firstLine="480" w:firstLineChars="200"/>
        <w:rPr>
          <w:rFonts w:hint="eastAsia" w:ascii="宋体" w:hAnsi="宋体" w:cs="宋体"/>
          <w:b w:val="0"/>
          <w:bCs w:val="0"/>
          <w:color w:val="auto"/>
          <w:kern w:val="2"/>
          <w:szCs w:val="24"/>
          <w:highlight w:val="none"/>
        </w:rPr>
      </w:pPr>
      <w:r>
        <w:rPr>
          <w:rFonts w:hint="eastAsia" w:ascii="宋体" w:hAnsi="宋体" w:cs="宋体"/>
          <w:color w:val="auto"/>
          <w:szCs w:val="24"/>
          <w:highlight w:val="none"/>
        </w:rPr>
        <w:t>1.</w:t>
      </w:r>
      <w:r>
        <w:rPr>
          <w:rFonts w:hint="eastAsia" w:ascii="宋体" w:hAnsi="宋体" w:cs="宋体"/>
          <w:b w:val="0"/>
          <w:bCs w:val="0"/>
          <w:color w:val="auto"/>
          <w:kern w:val="2"/>
          <w:szCs w:val="24"/>
          <w:highlight w:val="none"/>
        </w:rPr>
        <w:t>国家政策文件：《关于加快推进国有企业数字化转型工作的通知》</w:t>
      </w:r>
      <w:r>
        <w:rPr>
          <w:rFonts w:hint="eastAsia" w:ascii="宋体" w:hAnsi="宋体" w:cs="宋体"/>
          <w:color w:val="auto"/>
          <w:szCs w:val="24"/>
          <w:highlight w:val="none"/>
        </w:rPr>
        <w:t>、</w:t>
      </w:r>
      <w:r>
        <w:rPr>
          <w:rFonts w:hint="eastAsia" w:ascii="宋体" w:hAnsi="宋体" w:cs="宋体"/>
          <w:b w:val="0"/>
          <w:bCs w:val="0"/>
          <w:color w:val="auto"/>
          <w:kern w:val="2"/>
          <w:szCs w:val="24"/>
          <w:highlight w:val="none"/>
        </w:rPr>
        <w:t>《信息技术应用创新发展三年行动计划（2021-2023 年）》</w:t>
      </w:r>
      <w:r>
        <w:rPr>
          <w:rFonts w:hint="eastAsia" w:ascii="宋体" w:hAnsi="宋体" w:cs="宋体"/>
          <w:color w:val="auto"/>
          <w:szCs w:val="24"/>
          <w:highlight w:val="none"/>
        </w:rPr>
        <w:t>、</w:t>
      </w:r>
      <w:r>
        <w:rPr>
          <w:rFonts w:hint="eastAsia" w:ascii="宋体" w:hAnsi="宋体" w:cs="宋体"/>
          <w:b w:val="0"/>
          <w:bCs w:val="0"/>
          <w:color w:val="auto"/>
          <w:kern w:val="2"/>
          <w:szCs w:val="24"/>
          <w:highlight w:val="none"/>
        </w:rPr>
        <w:t>《关键信息基础设施安全保护条例》</w:t>
      </w:r>
      <w:r>
        <w:rPr>
          <w:rFonts w:hint="eastAsia" w:ascii="宋体" w:hAnsi="宋体" w:cs="宋体"/>
          <w:color w:val="auto"/>
          <w:szCs w:val="24"/>
          <w:highlight w:val="none"/>
        </w:rPr>
        <w:t>；</w:t>
      </w:r>
    </w:p>
    <w:p w14:paraId="3727DC88">
      <w:pPr>
        <w:numPr>
          <w:ilvl w:val="0"/>
          <w:numId w:val="0"/>
        </w:numPr>
        <w:spacing w:line="480" w:lineRule="exact"/>
        <w:ind w:left="0" w:firstLine="480" w:firstLineChars="200"/>
        <w:rPr>
          <w:rFonts w:hint="eastAsia" w:ascii="宋体" w:hAnsi="宋体" w:cs="宋体"/>
          <w:b w:val="0"/>
          <w:bCs w:val="0"/>
          <w:color w:val="auto"/>
          <w:kern w:val="2"/>
          <w:szCs w:val="24"/>
          <w:highlight w:val="none"/>
        </w:rPr>
      </w:pPr>
      <w:r>
        <w:rPr>
          <w:rFonts w:hint="eastAsia" w:ascii="宋体" w:hAnsi="宋体" w:cs="宋体"/>
          <w:color w:val="auto"/>
          <w:szCs w:val="24"/>
          <w:highlight w:val="none"/>
        </w:rPr>
        <w:t>2.</w:t>
      </w:r>
      <w:r>
        <w:rPr>
          <w:rFonts w:hint="eastAsia" w:ascii="宋体" w:hAnsi="宋体" w:cs="宋体"/>
          <w:b w:val="0"/>
          <w:bCs w:val="0"/>
          <w:color w:val="auto"/>
          <w:kern w:val="2"/>
          <w:szCs w:val="24"/>
          <w:highlight w:val="none"/>
        </w:rPr>
        <w:t>地方规范要求：《苏州市政务云管理办法（试行）》</w:t>
      </w:r>
      <w:r>
        <w:rPr>
          <w:rFonts w:hint="eastAsia" w:ascii="宋体" w:hAnsi="宋体" w:cs="宋体"/>
          <w:color w:val="auto"/>
          <w:szCs w:val="24"/>
          <w:highlight w:val="none"/>
        </w:rPr>
        <w:t>、</w:t>
      </w:r>
      <w:r>
        <w:rPr>
          <w:rFonts w:hint="eastAsia" w:ascii="宋体" w:hAnsi="宋体" w:cs="宋体"/>
          <w:b w:val="0"/>
          <w:bCs w:val="0"/>
          <w:color w:val="auto"/>
          <w:kern w:val="2"/>
          <w:szCs w:val="24"/>
          <w:highlight w:val="none"/>
        </w:rPr>
        <w:t>《苏州市政务信息系统国产化改造技术指南》</w:t>
      </w:r>
      <w:r>
        <w:rPr>
          <w:rFonts w:hint="eastAsia" w:ascii="宋体" w:hAnsi="宋体" w:cs="宋体"/>
          <w:color w:val="auto"/>
          <w:szCs w:val="24"/>
          <w:highlight w:val="none"/>
        </w:rPr>
        <w:t>；</w:t>
      </w:r>
    </w:p>
    <w:p w14:paraId="39E86E71">
      <w:pPr>
        <w:numPr>
          <w:ilvl w:val="0"/>
          <w:numId w:val="0"/>
        </w:numPr>
        <w:spacing w:line="480" w:lineRule="exact"/>
        <w:ind w:left="0" w:firstLine="480" w:firstLineChars="200"/>
        <w:rPr>
          <w:rFonts w:hint="eastAsia" w:ascii="宋体" w:hAnsi="宋体" w:cs="宋体"/>
          <w:b w:val="0"/>
          <w:bCs w:val="0"/>
          <w:color w:val="auto"/>
          <w:kern w:val="2"/>
          <w:szCs w:val="24"/>
          <w:highlight w:val="none"/>
        </w:rPr>
      </w:pPr>
      <w:r>
        <w:rPr>
          <w:rFonts w:hint="eastAsia" w:ascii="宋体" w:hAnsi="宋体" w:cs="宋体"/>
          <w:color w:val="auto"/>
          <w:szCs w:val="24"/>
          <w:highlight w:val="none"/>
        </w:rPr>
        <w:t>3.</w:t>
      </w:r>
      <w:r>
        <w:rPr>
          <w:rFonts w:hint="eastAsia" w:ascii="宋体" w:hAnsi="宋体" w:cs="宋体"/>
          <w:b w:val="0"/>
          <w:bCs w:val="0"/>
          <w:color w:val="auto"/>
          <w:kern w:val="2"/>
          <w:szCs w:val="24"/>
          <w:highlight w:val="none"/>
        </w:rPr>
        <w:t>行业标准：《港口信息系统技术规范（JT/T 1318-2020）》</w:t>
      </w:r>
      <w:r>
        <w:rPr>
          <w:rFonts w:hint="eastAsia" w:ascii="宋体" w:hAnsi="宋体" w:cs="宋体"/>
          <w:color w:val="auto"/>
          <w:szCs w:val="24"/>
          <w:highlight w:val="none"/>
        </w:rPr>
        <w:t>、</w:t>
      </w:r>
      <w:r>
        <w:rPr>
          <w:rFonts w:hint="eastAsia" w:ascii="宋体" w:hAnsi="宋体" w:cs="宋体"/>
          <w:b w:val="0"/>
          <w:bCs w:val="0"/>
          <w:color w:val="auto"/>
          <w:kern w:val="2"/>
          <w:szCs w:val="24"/>
          <w:highlight w:val="none"/>
        </w:rPr>
        <w:t>《船舶调度管理系统技术要求》</w:t>
      </w:r>
      <w:r>
        <w:rPr>
          <w:rFonts w:hint="eastAsia" w:ascii="宋体" w:hAnsi="宋体" w:cs="宋体"/>
          <w:color w:val="auto"/>
          <w:szCs w:val="24"/>
          <w:highlight w:val="none"/>
        </w:rPr>
        <w:t>；</w:t>
      </w:r>
    </w:p>
    <w:p w14:paraId="65314F83">
      <w:pPr>
        <w:numPr>
          <w:ilvl w:val="0"/>
          <w:numId w:val="0"/>
        </w:numPr>
        <w:spacing w:line="480" w:lineRule="exact"/>
        <w:ind w:left="0" w:firstLine="480" w:firstLineChars="200"/>
        <w:rPr>
          <w:rFonts w:hint="eastAsia" w:ascii="宋体" w:hAnsi="宋体" w:cs="宋体"/>
          <w:b w:val="0"/>
          <w:bCs w:val="0"/>
          <w:color w:val="auto"/>
          <w:kern w:val="2"/>
          <w:szCs w:val="24"/>
          <w:highlight w:val="none"/>
        </w:rPr>
      </w:pPr>
      <w:r>
        <w:rPr>
          <w:rFonts w:hint="eastAsia" w:ascii="宋体" w:hAnsi="宋体" w:cs="宋体"/>
          <w:color w:val="auto"/>
          <w:szCs w:val="24"/>
          <w:highlight w:val="none"/>
        </w:rPr>
        <w:t>4.</w:t>
      </w:r>
      <w:r>
        <w:rPr>
          <w:rFonts w:hint="eastAsia" w:ascii="宋体" w:hAnsi="宋体" w:cs="宋体"/>
          <w:b w:val="0"/>
          <w:bCs w:val="0"/>
          <w:color w:val="auto"/>
          <w:kern w:val="2"/>
          <w:szCs w:val="24"/>
          <w:highlight w:val="none"/>
        </w:rPr>
        <w:t>内部管理文件：《太仓港科技与信息化建设三年规划（2026 - 2028）》</w:t>
      </w:r>
      <w:r>
        <w:rPr>
          <w:rFonts w:hint="eastAsia" w:ascii="宋体" w:hAnsi="宋体" w:cs="宋体"/>
          <w:color w:val="auto"/>
          <w:szCs w:val="24"/>
          <w:highlight w:val="none"/>
        </w:rPr>
        <w:t>、</w:t>
      </w:r>
      <w:r>
        <w:rPr>
          <w:rFonts w:hint="eastAsia" w:ascii="宋体" w:hAnsi="宋体" w:cs="宋体"/>
          <w:b w:val="0"/>
          <w:bCs w:val="0"/>
          <w:color w:val="auto"/>
          <w:kern w:val="2"/>
          <w:szCs w:val="24"/>
          <w:highlight w:val="none"/>
        </w:rPr>
        <w:t>《船舶调度系统业务流程规范》</w:t>
      </w:r>
      <w:r>
        <w:rPr>
          <w:rFonts w:hint="eastAsia" w:ascii="宋体" w:hAnsi="宋体" w:cs="宋体"/>
          <w:b w:val="0"/>
          <w:bCs w:val="0"/>
          <w:color w:val="auto"/>
          <w:kern w:val="2"/>
          <w:szCs w:val="24"/>
          <w:highlight w:val="none"/>
          <w:lang w:val="en-US" w:eastAsia="zh-CN"/>
        </w:rPr>
        <w:t>以及年度重点工作要求</w:t>
      </w:r>
      <w:r>
        <w:rPr>
          <w:rFonts w:hint="eastAsia" w:ascii="宋体" w:hAnsi="宋体" w:cs="宋体"/>
          <w:color w:val="auto"/>
          <w:szCs w:val="24"/>
          <w:highlight w:val="none"/>
        </w:rPr>
        <w:t>。</w:t>
      </w:r>
    </w:p>
    <w:p w14:paraId="67D00449">
      <w:pPr>
        <w:pStyle w:val="3"/>
        <w:numPr>
          <w:ilvl w:val="0"/>
          <w:numId w:val="0"/>
        </w:numPr>
        <w:spacing w:before="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四、建设要求</w:t>
      </w:r>
    </w:p>
    <w:p w14:paraId="3C30301B">
      <w:pPr>
        <w:pStyle w:val="4"/>
        <w:numPr>
          <w:ilvl w:val="0"/>
          <w:numId w:val="0"/>
        </w:numPr>
        <w:spacing w:before="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（一）设计原则</w:t>
      </w:r>
    </w:p>
    <w:bookmarkEnd w:id="6"/>
    <w:p w14:paraId="7EF4F45C">
      <w:pPr>
        <w:pStyle w:val="39"/>
        <w:numPr>
          <w:ilvl w:val="0"/>
          <w:numId w:val="3"/>
        </w:numPr>
        <w:spacing w:line="480" w:lineRule="exact"/>
        <w:ind w:firstLine="480"/>
        <w:rPr>
          <w:rFonts w:hint="eastAsia" w:ascii="宋体" w:hAnsi="宋体" w:cs="宋体"/>
          <w:color w:val="auto"/>
          <w:szCs w:val="24"/>
          <w:highlight w:val="none"/>
        </w:rPr>
      </w:pPr>
      <w:r>
        <w:rPr>
          <w:rFonts w:hint="eastAsia" w:ascii="宋体" w:hAnsi="宋体" w:cs="宋体"/>
          <w:b w:val="0"/>
          <w:bCs w:val="0"/>
          <w:color w:val="auto"/>
          <w:szCs w:val="24"/>
          <w:highlight w:val="none"/>
        </w:rPr>
        <w:t>国产化优先原则</w:t>
      </w:r>
    </w:p>
    <w:p w14:paraId="086E2A62">
      <w:p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技术选型优先采用国产软硬件及开源技术，数据库必须使用达梦数据库，部署环境严格遵循苏州市政务云国产化要求</w:t>
      </w:r>
      <w:r>
        <w:rPr>
          <w:rFonts w:hint="eastAsia" w:ascii="宋体" w:hAnsi="宋体" w:cs="宋体"/>
          <w:color w:val="auto"/>
          <w:szCs w:val="24"/>
          <w:highlight w:val="none"/>
        </w:rPr>
        <w:t>。</w:t>
      </w:r>
    </w:p>
    <w:p w14:paraId="27CB0F2C">
      <w:pPr>
        <w:pStyle w:val="39"/>
        <w:numPr>
          <w:ilvl w:val="0"/>
          <w:numId w:val="3"/>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兼容性原则</w:t>
      </w:r>
    </w:p>
    <w:p w14:paraId="70F456BA">
      <w:p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改造后系统需与苏州市政务云平台、现有政务服务系统</w:t>
      </w:r>
      <w:r>
        <w:rPr>
          <w:rFonts w:hint="eastAsia" w:ascii="宋体" w:hAnsi="宋体" w:cs="宋体"/>
          <w:color w:val="auto"/>
          <w:szCs w:val="24"/>
          <w:highlight w:val="none"/>
          <w:lang w:val="en-US" w:eastAsia="zh-CN"/>
        </w:rPr>
        <w:t>和外单位系统</w:t>
      </w:r>
      <w:r>
        <w:rPr>
          <w:rFonts w:ascii="宋体" w:hAnsi="宋体" w:cs="宋体"/>
          <w:color w:val="auto"/>
          <w:szCs w:val="24"/>
          <w:highlight w:val="none"/>
        </w:rPr>
        <w:t>实现数据交互兼容，保障业务协同顺畅</w:t>
      </w:r>
      <w:r>
        <w:rPr>
          <w:rFonts w:hint="eastAsia" w:ascii="宋体" w:hAnsi="宋体" w:cs="宋体"/>
          <w:color w:val="auto"/>
          <w:szCs w:val="24"/>
          <w:highlight w:val="none"/>
        </w:rPr>
        <w:t>。</w:t>
      </w:r>
    </w:p>
    <w:p w14:paraId="2CFADC4D">
      <w:pPr>
        <w:pStyle w:val="39"/>
        <w:numPr>
          <w:ilvl w:val="0"/>
          <w:numId w:val="3"/>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安全性原则</w:t>
      </w:r>
    </w:p>
    <w:p w14:paraId="1F30D943">
      <w:p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遵循 “三同步”（同步规划、同步建设、同步使用）安全要求，通过数据加密、访问控制等措施，保障船舶数据、业务数据的机密性与完整性</w:t>
      </w:r>
      <w:r>
        <w:rPr>
          <w:rFonts w:hint="eastAsia" w:ascii="宋体" w:hAnsi="宋体" w:cs="宋体"/>
          <w:color w:val="auto"/>
          <w:szCs w:val="24"/>
          <w:highlight w:val="none"/>
        </w:rPr>
        <w:t>。</w:t>
      </w:r>
    </w:p>
    <w:p w14:paraId="49784A95">
      <w:pPr>
        <w:pStyle w:val="39"/>
        <w:numPr>
          <w:ilvl w:val="0"/>
          <w:numId w:val="3"/>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最小影响原则</w:t>
      </w:r>
    </w:p>
    <w:p w14:paraId="5A25D018">
      <w:p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采用增量改造与平滑过渡方案，减少对现有业务的中断，关键步骤需制定回滚机制，确保业务连续性</w:t>
      </w:r>
      <w:r>
        <w:rPr>
          <w:rFonts w:hint="eastAsia" w:ascii="宋体" w:hAnsi="宋体" w:cs="宋体"/>
          <w:color w:val="auto"/>
          <w:szCs w:val="24"/>
          <w:highlight w:val="none"/>
        </w:rPr>
        <w:t>。</w:t>
      </w:r>
    </w:p>
    <w:p w14:paraId="50AB4ABB">
      <w:pPr>
        <w:pStyle w:val="39"/>
        <w:numPr>
          <w:ilvl w:val="0"/>
          <w:numId w:val="3"/>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可扩展性原则</w:t>
      </w:r>
    </w:p>
    <w:p w14:paraId="50651AD0">
      <w:p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系统架构需支持未来功能扩展，预留接口与</w:t>
      </w:r>
      <w:r>
        <w:rPr>
          <w:rFonts w:hint="eastAsia" w:ascii="宋体" w:hAnsi="宋体" w:cs="宋体"/>
          <w:color w:val="auto"/>
          <w:szCs w:val="24"/>
          <w:highlight w:val="none"/>
        </w:rPr>
        <w:t>苏州港数据中心平台</w:t>
      </w:r>
      <w:r>
        <w:rPr>
          <w:rFonts w:ascii="宋体" w:hAnsi="宋体" w:cs="宋体"/>
          <w:color w:val="auto"/>
          <w:szCs w:val="24"/>
          <w:highlight w:val="none"/>
        </w:rPr>
        <w:t>对接</w:t>
      </w:r>
      <w:r>
        <w:rPr>
          <w:rFonts w:hint="eastAsia" w:ascii="宋体" w:hAnsi="宋体" w:cs="宋体"/>
          <w:color w:val="auto"/>
          <w:szCs w:val="24"/>
          <w:highlight w:val="none"/>
        </w:rPr>
        <w:t>。</w:t>
      </w:r>
    </w:p>
    <w:p w14:paraId="6DADDD95">
      <w:pPr>
        <w:pStyle w:val="39"/>
        <w:numPr>
          <w:ilvl w:val="0"/>
          <w:numId w:val="3"/>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用户体验一致性原则</w:t>
      </w:r>
    </w:p>
    <w:p w14:paraId="26A0FA7C">
      <w:p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前端界面操作逻辑、交互流程保持与改造前一致，降低用户学习成本，保障业务人员高效使用</w:t>
      </w:r>
      <w:r>
        <w:rPr>
          <w:rFonts w:hint="eastAsia" w:ascii="宋体" w:hAnsi="宋体" w:cs="宋体"/>
          <w:color w:val="auto"/>
          <w:szCs w:val="24"/>
          <w:highlight w:val="none"/>
        </w:rPr>
        <w:t>。</w:t>
      </w:r>
    </w:p>
    <w:p w14:paraId="05202FA5">
      <w:pPr>
        <w:pStyle w:val="4"/>
        <w:numPr>
          <w:ilvl w:val="0"/>
          <w:numId w:val="0"/>
        </w:numPr>
        <w:spacing w:before="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（二）总体技术要求</w:t>
      </w:r>
    </w:p>
    <w:p w14:paraId="5C61E544">
      <w:pPr>
        <w:pStyle w:val="8"/>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系统应基于本项目建设要求，结合苏州市政务云环境实际，提供总体架构、网络架构等方面设计，并提供合理的运行环境规划。在技术指标上应满足以下要求：</w:t>
      </w:r>
    </w:p>
    <w:p w14:paraId="22248FFB">
      <w:pPr>
        <w:pStyle w:val="8"/>
        <w:numPr>
          <w:ilvl w:val="0"/>
          <w:numId w:val="4"/>
        </w:numPr>
        <w:spacing w:line="480" w:lineRule="exact"/>
        <w:ind w:firstLine="480"/>
        <w:rPr>
          <w:rFonts w:hint="eastAsia" w:ascii="宋体" w:hAnsi="宋体" w:cs="宋体"/>
          <w:color w:val="auto"/>
          <w:szCs w:val="24"/>
          <w:highlight w:val="none"/>
        </w:rPr>
      </w:pPr>
      <w:r>
        <w:rPr>
          <w:rFonts w:hint="eastAsia" w:ascii="宋体" w:hAnsi="宋体" w:cs="宋体"/>
          <w:b w:val="0"/>
          <w:bCs w:val="0"/>
          <w:color w:val="auto"/>
          <w:szCs w:val="24"/>
          <w:highlight w:val="none"/>
        </w:rPr>
        <w:t>架构要求</w:t>
      </w:r>
      <w:r>
        <w:rPr>
          <w:rFonts w:ascii="宋体" w:hAnsi="宋体" w:cs="宋体"/>
          <w:color w:val="auto"/>
          <w:szCs w:val="24"/>
          <w:highlight w:val="none"/>
        </w:rPr>
        <w:t>：基于原有“VUE 前端 + Spring Boot 后端”架构扩展，新增达梦数据库适配层，重构.NET模块为Java微服务，形成“前端 - 后端 - 数据库”全栈国产化技术体系</w:t>
      </w:r>
      <w:r>
        <w:rPr>
          <w:rFonts w:hint="eastAsia" w:ascii="宋体" w:hAnsi="宋体" w:cs="宋体"/>
          <w:color w:val="auto"/>
          <w:szCs w:val="24"/>
          <w:highlight w:val="none"/>
        </w:rPr>
        <w:t>；</w:t>
      </w:r>
    </w:p>
    <w:p w14:paraId="414D1313">
      <w:pPr>
        <w:pStyle w:val="8"/>
        <w:numPr>
          <w:ilvl w:val="0"/>
          <w:numId w:val="4"/>
        </w:numPr>
        <w:spacing w:line="480" w:lineRule="exact"/>
        <w:ind w:firstLine="480"/>
        <w:rPr>
          <w:rFonts w:hint="eastAsia" w:ascii="宋体" w:hAnsi="宋体" w:cs="宋体"/>
          <w:color w:val="auto"/>
          <w:szCs w:val="24"/>
          <w:highlight w:val="none"/>
        </w:rPr>
      </w:pPr>
      <w:r>
        <w:rPr>
          <w:rFonts w:hint="eastAsia" w:ascii="宋体" w:hAnsi="宋体" w:cs="宋体"/>
          <w:b w:val="0"/>
          <w:bCs w:val="0"/>
          <w:color w:val="auto"/>
          <w:szCs w:val="24"/>
          <w:highlight w:val="none"/>
        </w:rPr>
        <w:t>云环境适配要求</w:t>
      </w:r>
      <w:r>
        <w:rPr>
          <w:rFonts w:ascii="宋体" w:hAnsi="宋体" w:cs="宋体"/>
          <w:color w:val="auto"/>
          <w:szCs w:val="24"/>
          <w:highlight w:val="none"/>
        </w:rPr>
        <w:t>：符合苏州市政务云IaaS 层（计算、存储、网络）及PaaS 层（容器、中间件）规范，支持云资源弹性伸缩，通过政务云安全基线检测</w:t>
      </w:r>
      <w:r>
        <w:rPr>
          <w:rFonts w:hint="eastAsia" w:ascii="宋体" w:hAnsi="宋体" w:cs="宋体"/>
          <w:color w:val="auto"/>
          <w:szCs w:val="24"/>
          <w:highlight w:val="none"/>
        </w:rPr>
        <w:t>；</w:t>
      </w:r>
    </w:p>
    <w:p w14:paraId="470167F4">
      <w:pPr>
        <w:pStyle w:val="8"/>
        <w:numPr>
          <w:ilvl w:val="0"/>
          <w:numId w:val="4"/>
        </w:numPr>
        <w:spacing w:line="480" w:lineRule="exact"/>
        <w:ind w:firstLine="480"/>
        <w:rPr>
          <w:rFonts w:hint="eastAsia" w:ascii="宋体" w:hAnsi="宋体" w:cs="宋体"/>
          <w:color w:val="auto"/>
          <w:szCs w:val="24"/>
          <w:highlight w:val="none"/>
        </w:rPr>
      </w:pPr>
      <w:r>
        <w:rPr>
          <w:rFonts w:hint="eastAsia" w:ascii="宋体" w:hAnsi="宋体" w:cs="宋体"/>
          <w:b w:val="0"/>
          <w:bCs w:val="0"/>
          <w:color w:val="auto"/>
          <w:szCs w:val="24"/>
          <w:highlight w:val="none"/>
        </w:rPr>
        <w:t>数据库迁移要求</w:t>
      </w:r>
      <w:r>
        <w:rPr>
          <w:rFonts w:ascii="宋体" w:hAnsi="宋体" w:cs="宋体"/>
          <w:color w:val="auto"/>
          <w:szCs w:val="24"/>
          <w:highlight w:val="none"/>
        </w:rPr>
        <w:t>：实现 MySQL 与达梦数据库的结构映射（表、视图、索引等）、数据转换（字符集、日期格式等）及SQL语句适配（替换 MySQL特有函数为达梦兼容函数），迁移后数据准确率 100%</w:t>
      </w:r>
      <w:r>
        <w:rPr>
          <w:rFonts w:hint="eastAsia" w:ascii="宋体" w:hAnsi="宋体" w:cs="宋体"/>
          <w:color w:val="auto"/>
          <w:szCs w:val="24"/>
          <w:highlight w:val="none"/>
        </w:rPr>
        <w:t>；</w:t>
      </w:r>
    </w:p>
    <w:p w14:paraId="557DBDE4">
      <w:pPr>
        <w:pStyle w:val="8"/>
        <w:numPr>
          <w:ilvl w:val="0"/>
          <w:numId w:val="4"/>
        </w:numPr>
        <w:spacing w:line="480" w:lineRule="exact"/>
        <w:ind w:firstLine="480"/>
        <w:rPr>
          <w:rFonts w:hint="eastAsia" w:ascii="宋体" w:hAnsi="宋体" w:cs="宋体"/>
          <w:color w:val="auto"/>
          <w:szCs w:val="24"/>
          <w:highlight w:val="none"/>
        </w:rPr>
      </w:pPr>
      <w:r>
        <w:rPr>
          <w:rFonts w:hint="eastAsia" w:ascii="宋体" w:hAnsi="宋体" w:cs="宋体"/>
          <w:b w:val="0"/>
          <w:bCs w:val="0"/>
          <w:color w:val="auto"/>
          <w:szCs w:val="24"/>
          <w:highlight w:val="none"/>
        </w:rPr>
        <w:t>代码改造要求</w:t>
      </w:r>
      <w:r>
        <w:rPr>
          <w:rFonts w:ascii="宋体" w:hAnsi="宋体" w:cs="宋体"/>
          <w:color w:val="auto"/>
          <w:szCs w:val="24"/>
          <w:highlight w:val="none"/>
        </w:rPr>
        <w:t xml:space="preserve">：.NET模块需基于 Java（JDK </w:t>
      </w:r>
      <w:r>
        <w:rPr>
          <w:rFonts w:hint="eastAsia" w:ascii="宋体" w:hAnsi="宋体" w:cs="宋体"/>
          <w:color w:val="auto"/>
          <w:szCs w:val="24"/>
          <w:highlight w:val="none"/>
        </w:rPr>
        <w:t>1.8</w:t>
      </w:r>
      <w:r>
        <w:rPr>
          <w:rFonts w:ascii="宋体" w:hAnsi="宋体" w:cs="宋体"/>
          <w:color w:val="auto"/>
          <w:szCs w:val="24"/>
          <w:highlight w:val="none"/>
        </w:rPr>
        <w:t>）及 Spring Boot（2.7）重构，复用原有业务逻辑规则，遵循Java开发规范，代码覆盖率≥95%</w:t>
      </w:r>
      <w:r>
        <w:rPr>
          <w:rFonts w:hint="eastAsia" w:ascii="宋体" w:hAnsi="宋体" w:cs="宋体"/>
          <w:color w:val="auto"/>
          <w:szCs w:val="24"/>
          <w:highlight w:val="none"/>
        </w:rPr>
        <w:t>。</w:t>
      </w:r>
    </w:p>
    <w:p w14:paraId="0D301BEE">
      <w:pPr>
        <w:pStyle w:val="4"/>
        <w:numPr>
          <w:ilvl w:val="0"/>
          <w:numId w:val="5"/>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详细建设要求</w:t>
      </w:r>
    </w:p>
    <w:p w14:paraId="240B2A6F">
      <w:pPr>
        <w:numPr>
          <w:ilvl w:val="0"/>
          <w:numId w:val="6"/>
        </w:numPr>
        <w:spacing w:line="480" w:lineRule="exact"/>
        <w:ind w:left="0" w:firstLine="482"/>
        <w:rPr>
          <w:rFonts w:hint="eastAsia" w:ascii="宋体" w:hAnsi="宋体" w:cs="宋体"/>
          <w:b/>
          <w:bCs/>
          <w:color w:val="auto"/>
          <w:szCs w:val="24"/>
          <w:highlight w:val="none"/>
        </w:rPr>
      </w:pPr>
      <w:r>
        <w:rPr>
          <w:rFonts w:ascii="宋体" w:hAnsi="宋体" w:cs="宋体"/>
          <w:b/>
          <w:bCs/>
          <w:color w:val="auto"/>
          <w:szCs w:val="24"/>
          <w:highlight w:val="none"/>
        </w:rPr>
        <w:t>Java 模块适配</w:t>
      </w:r>
      <w:r>
        <w:rPr>
          <w:rFonts w:hint="eastAsia" w:ascii="宋体" w:hAnsi="宋体" w:cs="宋体"/>
          <w:b/>
          <w:bCs/>
          <w:color w:val="auto"/>
          <w:szCs w:val="24"/>
          <w:highlight w:val="none"/>
        </w:rPr>
        <w:t>：</w:t>
      </w:r>
    </w:p>
    <w:p w14:paraId="4F62D78C">
      <w:pPr>
        <w:pStyle w:val="51"/>
        <w:numPr>
          <w:ilvl w:val="0"/>
          <w:numId w:val="7"/>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新增达梦数据库驱动依赖，修改MyBatis配置文件，替换MySQL特有SQ</w:t>
      </w:r>
      <w:r>
        <w:rPr>
          <w:rFonts w:hint="eastAsia" w:ascii="宋体" w:hAnsi="宋体" w:cs="宋体"/>
          <w:color w:val="auto"/>
          <w:szCs w:val="24"/>
          <w:highlight w:val="none"/>
        </w:rPr>
        <w:t>L</w:t>
      </w:r>
      <w:r>
        <w:rPr>
          <w:rFonts w:ascii="宋体" w:hAnsi="宋体" w:cs="宋体"/>
          <w:color w:val="auto"/>
          <w:szCs w:val="24"/>
          <w:highlight w:val="none"/>
        </w:rPr>
        <w:t>语句</w:t>
      </w:r>
      <w:r>
        <w:rPr>
          <w:rFonts w:hint="eastAsia" w:ascii="宋体" w:hAnsi="宋体" w:cs="宋体"/>
          <w:color w:val="auto"/>
          <w:szCs w:val="24"/>
          <w:highlight w:val="none"/>
        </w:rPr>
        <w:t>；</w:t>
      </w:r>
    </w:p>
    <w:p w14:paraId="20749B60">
      <w:pPr>
        <w:pStyle w:val="51"/>
        <w:numPr>
          <w:ilvl w:val="0"/>
          <w:numId w:val="7"/>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调整数据库连接池参数（基于达梦优化），确保连接稳定性，避免死锁或超时问题</w:t>
      </w:r>
      <w:r>
        <w:rPr>
          <w:rFonts w:hint="eastAsia" w:ascii="宋体" w:hAnsi="宋体" w:cs="宋体"/>
          <w:color w:val="auto"/>
          <w:szCs w:val="24"/>
          <w:highlight w:val="none"/>
        </w:rPr>
        <w:t>；</w:t>
      </w:r>
    </w:p>
    <w:p w14:paraId="6C7EE98F">
      <w:pPr>
        <w:pStyle w:val="51"/>
        <w:numPr>
          <w:ilvl w:val="0"/>
          <w:numId w:val="7"/>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对涉及数据库事务的业务进行压力测试，验证事务一致性</w:t>
      </w:r>
      <w:r>
        <w:rPr>
          <w:rFonts w:hint="eastAsia" w:ascii="宋体" w:hAnsi="宋体" w:cs="宋体"/>
          <w:color w:val="auto"/>
          <w:szCs w:val="24"/>
          <w:highlight w:val="none"/>
        </w:rPr>
        <w:t>。</w:t>
      </w:r>
    </w:p>
    <w:p w14:paraId="6C79D7A1">
      <w:pPr>
        <w:numPr>
          <w:ilvl w:val="0"/>
          <w:numId w:val="6"/>
        </w:numPr>
        <w:spacing w:line="480" w:lineRule="exact"/>
        <w:ind w:left="0" w:firstLine="482"/>
        <w:rPr>
          <w:rFonts w:hint="eastAsia" w:ascii="宋体" w:hAnsi="宋体" w:cs="宋体"/>
          <w:b/>
          <w:bCs/>
          <w:color w:val="auto"/>
          <w:szCs w:val="24"/>
          <w:highlight w:val="none"/>
        </w:rPr>
      </w:pPr>
      <w:r>
        <w:rPr>
          <w:rFonts w:ascii="宋体" w:hAnsi="宋体" w:cs="宋体"/>
          <w:b/>
          <w:bCs/>
          <w:color w:val="auto"/>
          <w:szCs w:val="24"/>
          <w:highlight w:val="none"/>
        </w:rPr>
        <w:t>.NET 模块 Java 重构</w:t>
      </w:r>
      <w:r>
        <w:rPr>
          <w:rFonts w:hint="eastAsia" w:ascii="宋体" w:hAnsi="宋体" w:cs="宋体"/>
          <w:b/>
          <w:bCs/>
          <w:color w:val="auto"/>
          <w:szCs w:val="24"/>
          <w:highlight w:val="none"/>
        </w:rPr>
        <w:t>：</w:t>
      </w:r>
    </w:p>
    <w:p w14:paraId="72C79020">
      <w:pPr>
        <w:pStyle w:val="51"/>
        <w:numPr>
          <w:ilvl w:val="0"/>
          <w:numId w:val="8"/>
        </w:numPr>
        <w:snapToGrid/>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梳</w:t>
      </w:r>
      <w:r>
        <w:rPr>
          <w:rFonts w:ascii="宋体" w:hAnsi="宋体" w:cs="宋体"/>
          <w:color w:val="auto"/>
          <w:szCs w:val="24"/>
          <w:highlight w:val="none"/>
        </w:rPr>
        <w:t>理.NET模块核心功能的业务逻辑、数据流向及接口依赖</w:t>
      </w:r>
      <w:r>
        <w:rPr>
          <w:rFonts w:hint="eastAsia" w:ascii="宋体" w:hAnsi="宋体" w:cs="宋体"/>
          <w:color w:val="auto"/>
          <w:szCs w:val="24"/>
          <w:highlight w:val="none"/>
        </w:rPr>
        <w:t>；</w:t>
      </w:r>
    </w:p>
    <w:p w14:paraId="0DE31A2B">
      <w:pPr>
        <w:pStyle w:val="51"/>
        <w:numPr>
          <w:ilvl w:val="0"/>
          <w:numId w:val="8"/>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基于Spring Boot框架重构，复用原有前端接口，新增达梦数据库交互逻辑，确保功能与原模块完全一致</w:t>
      </w:r>
      <w:r>
        <w:rPr>
          <w:rFonts w:hint="eastAsia" w:ascii="宋体" w:hAnsi="宋体" w:cs="宋体"/>
          <w:color w:val="auto"/>
          <w:szCs w:val="24"/>
          <w:highlight w:val="none"/>
        </w:rPr>
        <w:t>。</w:t>
      </w:r>
    </w:p>
    <w:p w14:paraId="68CCD56D">
      <w:pPr>
        <w:numPr>
          <w:ilvl w:val="0"/>
          <w:numId w:val="6"/>
        </w:numPr>
        <w:spacing w:line="480" w:lineRule="exact"/>
        <w:ind w:left="0" w:firstLine="482"/>
        <w:rPr>
          <w:rFonts w:hint="eastAsia" w:ascii="宋体" w:hAnsi="宋体" w:cs="宋体"/>
          <w:b/>
          <w:bCs/>
          <w:color w:val="auto"/>
          <w:szCs w:val="24"/>
          <w:highlight w:val="none"/>
        </w:rPr>
      </w:pPr>
      <w:r>
        <w:rPr>
          <w:rFonts w:ascii="宋体" w:hAnsi="宋体" w:cs="宋体"/>
          <w:b/>
          <w:bCs/>
          <w:color w:val="auto"/>
          <w:szCs w:val="24"/>
          <w:highlight w:val="none"/>
        </w:rPr>
        <w:t>数据库迁移与适配</w:t>
      </w:r>
      <w:r>
        <w:rPr>
          <w:rFonts w:hint="eastAsia" w:ascii="宋体" w:hAnsi="宋体" w:cs="宋体"/>
          <w:b/>
          <w:bCs/>
          <w:color w:val="auto"/>
          <w:szCs w:val="24"/>
          <w:highlight w:val="none"/>
        </w:rPr>
        <w:t>：</w:t>
      </w:r>
    </w:p>
    <w:p w14:paraId="13858FB8">
      <w:pPr>
        <w:numPr>
          <w:ilvl w:val="0"/>
          <w:numId w:val="9"/>
        </w:numPr>
        <w:spacing w:line="480" w:lineRule="exact"/>
        <w:ind w:firstLine="480"/>
        <w:rPr>
          <w:rFonts w:ascii="宋体" w:hAnsi="宋体" w:cs="宋体"/>
          <w:color w:val="auto"/>
          <w:szCs w:val="24"/>
          <w:highlight w:val="none"/>
        </w:rPr>
      </w:pPr>
      <w:r>
        <w:rPr>
          <w:rFonts w:ascii="宋体" w:hAnsi="宋体" w:cs="宋体"/>
          <w:color w:val="auto"/>
          <w:szCs w:val="24"/>
          <w:highlight w:val="none"/>
        </w:rPr>
        <w:t>梳理MySQL数据库结构，制定达梦数据库</w:t>
      </w:r>
      <w:r>
        <w:rPr>
          <w:rFonts w:hint="eastAsia" w:ascii="宋体" w:hAnsi="宋体" w:cs="宋体"/>
          <w:color w:val="auto"/>
          <w:szCs w:val="24"/>
          <w:highlight w:val="none"/>
        </w:rPr>
        <w:t>历史数据迁移方案；</w:t>
      </w:r>
    </w:p>
    <w:p w14:paraId="5D92CE44">
      <w:pPr>
        <w:numPr>
          <w:ilvl w:val="0"/>
          <w:numId w:val="9"/>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实施数据库结构迁移和全量数据迁移；</w:t>
      </w:r>
    </w:p>
    <w:p w14:paraId="20C8B95F">
      <w:pPr>
        <w:numPr>
          <w:ilvl w:val="0"/>
          <w:numId w:val="9"/>
        </w:num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对达梦数据库进行性能调优，解决迁移后可能出现的查询慢、锁表等问题，确保核心业务SQL执行效率不低于原MySQL环境</w:t>
      </w:r>
      <w:r>
        <w:rPr>
          <w:rFonts w:hint="eastAsia" w:ascii="宋体" w:hAnsi="宋体" w:cs="宋体"/>
          <w:color w:val="auto"/>
          <w:szCs w:val="24"/>
          <w:highlight w:val="none"/>
        </w:rPr>
        <w:t>。</w:t>
      </w:r>
    </w:p>
    <w:p w14:paraId="0E7B396B">
      <w:pPr>
        <w:numPr>
          <w:ilvl w:val="0"/>
          <w:numId w:val="6"/>
        </w:numPr>
        <w:spacing w:line="480" w:lineRule="exact"/>
        <w:ind w:left="845" w:hanging="425" w:firstLineChars="0"/>
        <w:rPr>
          <w:rFonts w:hint="eastAsia" w:ascii="宋体" w:hAnsi="宋体" w:cs="宋体"/>
          <w:b/>
          <w:bCs/>
          <w:color w:val="auto"/>
          <w:szCs w:val="24"/>
          <w:highlight w:val="none"/>
        </w:rPr>
      </w:pPr>
      <w:r>
        <w:rPr>
          <w:rFonts w:hint="eastAsia" w:ascii="宋体" w:hAnsi="宋体" w:cs="宋体"/>
          <w:b/>
          <w:bCs/>
          <w:color w:val="auto"/>
          <w:szCs w:val="24"/>
          <w:highlight w:val="none"/>
        </w:rPr>
        <w:t>外部对接改造与适配：</w:t>
      </w:r>
    </w:p>
    <w:p w14:paraId="1C6F72B0">
      <w:pPr>
        <w:numPr>
          <w:ilvl w:val="0"/>
          <w:numId w:val="10"/>
        </w:numPr>
        <w:snapToGrid/>
        <w:spacing w:line="480" w:lineRule="exact"/>
        <w:ind w:firstLineChars="0"/>
        <w:rPr>
          <w:rFonts w:hint="eastAsia" w:ascii="宋体" w:hAnsi="宋体" w:cs="宋体"/>
          <w:color w:val="auto"/>
          <w:szCs w:val="24"/>
          <w:highlight w:val="none"/>
        </w:rPr>
      </w:pPr>
      <w:r>
        <w:rPr>
          <w:rFonts w:hint="eastAsia" w:ascii="宋体" w:hAnsi="宋体" w:cs="宋体"/>
          <w:color w:val="auto"/>
          <w:szCs w:val="24"/>
          <w:highlight w:val="none"/>
        </w:rPr>
        <w:t>梳理外部对接接口清单（码头、海事等）；</w:t>
      </w:r>
    </w:p>
    <w:p w14:paraId="4315ADA4">
      <w:pPr>
        <w:numPr>
          <w:ilvl w:val="0"/>
          <w:numId w:val="10"/>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梳理当前对接逻辑和迁移后对接方案，尽量通过技术手段内部消化，避免或最大程度降低外部单位的改造工作量；</w:t>
      </w:r>
    </w:p>
    <w:p w14:paraId="4A4FB709">
      <w:pPr>
        <w:numPr>
          <w:ilvl w:val="0"/>
          <w:numId w:val="10"/>
        </w:numPr>
        <w:snapToGrid/>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外部对接改造需符合政务云环境的防护策略要求。</w:t>
      </w:r>
    </w:p>
    <w:p w14:paraId="070FC830">
      <w:pPr>
        <w:numPr>
          <w:ilvl w:val="0"/>
          <w:numId w:val="6"/>
        </w:numPr>
        <w:spacing w:line="480" w:lineRule="exact"/>
        <w:ind w:left="0" w:firstLine="482"/>
        <w:rPr>
          <w:rFonts w:hint="eastAsia" w:ascii="宋体" w:hAnsi="宋体" w:cs="宋体"/>
          <w:b/>
          <w:bCs/>
          <w:color w:val="auto"/>
          <w:szCs w:val="24"/>
          <w:highlight w:val="none"/>
        </w:rPr>
      </w:pPr>
      <w:r>
        <w:rPr>
          <w:rFonts w:hint="eastAsia" w:ascii="宋体" w:hAnsi="宋体" w:cs="宋体"/>
          <w:b/>
          <w:bCs/>
          <w:color w:val="auto"/>
          <w:szCs w:val="24"/>
          <w:highlight w:val="none"/>
        </w:rPr>
        <w:t>政务云部署与集成：</w:t>
      </w:r>
    </w:p>
    <w:p w14:paraId="58291BDC">
      <w:pPr>
        <w:numPr>
          <w:ilvl w:val="0"/>
          <w:numId w:val="11"/>
        </w:numPr>
        <w:spacing w:line="480" w:lineRule="exact"/>
        <w:ind w:firstLine="454" w:firstLineChars="0"/>
        <w:rPr>
          <w:rFonts w:hint="eastAsia" w:ascii="宋体" w:hAnsi="宋体" w:cs="宋体"/>
          <w:color w:val="auto"/>
          <w:szCs w:val="24"/>
          <w:highlight w:val="none"/>
        </w:rPr>
      </w:pPr>
      <w:r>
        <w:rPr>
          <w:rFonts w:ascii="宋体" w:hAnsi="宋体" w:cs="宋体"/>
          <w:color w:val="auto"/>
          <w:szCs w:val="24"/>
          <w:highlight w:val="none"/>
        </w:rPr>
        <w:t>按照苏州市政务云部署规范，完成系统在政务云IaaS层的资源配置（虚拟机/容器、存储卷、安全组），网络接入政务云内网，通过</w:t>
      </w:r>
      <w:r>
        <w:rPr>
          <w:rFonts w:hint="eastAsia" w:ascii="宋体" w:hAnsi="宋体" w:cs="宋体"/>
          <w:color w:val="auto"/>
          <w:szCs w:val="24"/>
          <w:highlight w:val="none"/>
        </w:rPr>
        <w:t>专线</w:t>
      </w:r>
      <w:r>
        <w:rPr>
          <w:rFonts w:ascii="宋体" w:hAnsi="宋体" w:cs="宋体"/>
          <w:color w:val="auto"/>
          <w:szCs w:val="24"/>
          <w:highlight w:val="none"/>
        </w:rPr>
        <w:t>与苏州港管委会内部网络互通</w:t>
      </w:r>
      <w:r>
        <w:rPr>
          <w:rFonts w:hint="eastAsia" w:ascii="宋体" w:hAnsi="宋体" w:cs="宋体"/>
          <w:color w:val="auto"/>
          <w:szCs w:val="24"/>
          <w:highlight w:val="none"/>
        </w:rPr>
        <w:t>；</w:t>
      </w:r>
    </w:p>
    <w:p w14:paraId="2C22A923">
      <w:pPr>
        <w:numPr>
          <w:ilvl w:val="0"/>
          <w:numId w:val="11"/>
        </w:numPr>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集成</w:t>
      </w:r>
      <w:r>
        <w:rPr>
          <w:rFonts w:hint="eastAsia" w:ascii="宋体" w:hAnsi="宋体" w:cs="宋体"/>
          <w:color w:val="auto"/>
          <w:szCs w:val="24"/>
          <w:highlight w:val="none"/>
        </w:rPr>
        <w:t>苏州港一体化</w:t>
      </w:r>
      <w:r>
        <w:rPr>
          <w:rFonts w:ascii="宋体" w:hAnsi="宋体" w:cs="宋体"/>
          <w:color w:val="auto"/>
          <w:szCs w:val="24"/>
          <w:highlight w:val="none"/>
        </w:rPr>
        <w:t>PaaS层服务：对接统一身份认证平台、</w:t>
      </w:r>
      <w:r>
        <w:rPr>
          <w:rFonts w:hint="eastAsia" w:ascii="宋体" w:hAnsi="宋体" w:cs="宋体"/>
          <w:color w:val="auto"/>
          <w:szCs w:val="24"/>
          <w:highlight w:val="none"/>
        </w:rPr>
        <w:t>数据交换</w:t>
      </w:r>
      <w:r>
        <w:rPr>
          <w:rFonts w:ascii="宋体" w:hAnsi="宋体" w:cs="宋体"/>
          <w:color w:val="auto"/>
          <w:szCs w:val="24"/>
          <w:highlight w:val="none"/>
        </w:rPr>
        <w:t>系统、安全防护系统</w:t>
      </w:r>
      <w:r>
        <w:rPr>
          <w:rFonts w:hint="eastAsia" w:ascii="宋体" w:hAnsi="宋体" w:cs="宋体"/>
          <w:color w:val="auto"/>
          <w:szCs w:val="24"/>
          <w:highlight w:val="none"/>
        </w:rPr>
        <w:t>；</w:t>
      </w:r>
    </w:p>
    <w:p w14:paraId="5AECC611">
      <w:pPr>
        <w:numPr>
          <w:ilvl w:val="0"/>
          <w:numId w:val="11"/>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部署架构采用“应用服务器</w:t>
      </w:r>
      <w:r>
        <w:rPr>
          <w:rFonts w:hint="eastAsia" w:ascii="宋体" w:hAnsi="宋体" w:cs="宋体"/>
          <w:color w:val="auto"/>
          <w:szCs w:val="24"/>
          <w:highlight w:val="none"/>
        </w:rPr>
        <w:t xml:space="preserve"> </w:t>
      </w:r>
      <w:r>
        <w:rPr>
          <w:rFonts w:ascii="宋体" w:hAnsi="宋体" w:cs="宋体"/>
          <w:color w:val="auto"/>
          <w:szCs w:val="24"/>
          <w:highlight w:val="none"/>
        </w:rPr>
        <w:t>+</w:t>
      </w:r>
      <w:r>
        <w:rPr>
          <w:rFonts w:hint="eastAsia" w:ascii="宋体" w:hAnsi="宋体" w:cs="宋体"/>
          <w:color w:val="auto"/>
          <w:szCs w:val="24"/>
          <w:highlight w:val="none"/>
        </w:rPr>
        <w:t xml:space="preserve"> </w:t>
      </w:r>
      <w:r>
        <w:rPr>
          <w:rFonts w:ascii="宋体" w:hAnsi="宋体" w:cs="宋体"/>
          <w:color w:val="auto"/>
          <w:szCs w:val="24"/>
          <w:highlight w:val="none"/>
        </w:rPr>
        <w:t>数据库服务器”分离模式，</w:t>
      </w:r>
      <w:r>
        <w:rPr>
          <w:rFonts w:hint="eastAsia" w:ascii="宋体" w:hAnsi="宋体" w:cs="宋体"/>
          <w:color w:val="auto"/>
          <w:szCs w:val="24"/>
          <w:highlight w:val="none"/>
        </w:rPr>
        <w:t>上线初期需要支持系统并行</w:t>
      </w:r>
      <w:r>
        <w:rPr>
          <w:rFonts w:ascii="宋体" w:hAnsi="宋体" w:cs="宋体"/>
          <w:color w:val="auto"/>
          <w:szCs w:val="24"/>
          <w:highlight w:val="none"/>
        </w:rPr>
        <w:t>，确保数据高可用。</w:t>
      </w:r>
    </w:p>
    <w:p w14:paraId="3CF46E0B">
      <w:pPr>
        <w:numPr>
          <w:ilvl w:val="0"/>
          <w:numId w:val="6"/>
        </w:numPr>
        <w:spacing w:line="480" w:lineRule="exact"/>
        <w:ind w:left="0" w:firstLine="482"/>
        <w:rPr>
          <w:rFonts w:hint="eastAsia" w:ascii="宋体" w:hAnsi="宋体" w:cs="宋体"/>
          <w:b/>
          <w:bCs/>
          <w:color w:val="auto"/>
          <w:szCs w:val="24"/>
          <w:highlight w:val="none"/>
        </w:rPr>
      </w:pPr>
      <w:r>
        <w:rPr>
          <w:rFonts w:hint="eastAsia" w:ascii="宋体" w:hAnsi="宋体" w:cs="宋体"/>
          <w:b/>
          <w:bCs/>
          <w:color w:val="auto"/>
          <w:szCs w:val="24"/>
          <w:highlight w:val="none"/>
        </w:rPr>
        <w:t>系统测试：</w:t>
      </w:r>
    </w:p>
    <w:p w14:paraId="1CB6958E">
      <w:pPr>
        <w:pStyle w:val="51"/>
        <w:numPr>
          <w:ilvl w:val="0"/>
          <w:numId w:val="12"/>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功能测试：覆盖所有业务模块（报港、靠离泊、清单管理等），验证改造后功能与原系统一致</w:t>
      </w:r>
      <w:r>
        <w:rPr>
          <w:rFonts w:hint="eastAsia" w:ascii="宋体" w:hAnsi="宋体" w:cs="宋体"/>
          <w:color w:val="auto"/>
          <w:szCs w:val="24"/>
          <w:highlight w:val="none"/>
        </w:rPr>
        <w:t>；</w:t>
      </w:r>
    </w:p>
    <w:p w14:paraId="4F03DD76">
      <w:pPr>
        <w:pStyle w:val="51"/>
        <w:numPr>
          <w:ilvl w:val="0"/>
          <w:numId w:val="12"/>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性能测试</w:t>
      </w:r>
      <w:r>
        <w:rPr>
          <w:rFonts w:hint="eastAsia" w:ascii="宋体" w:hAnsi="宋体" w:cs="宋体"/>
          <w:color w:val="auto"/>
          <w:szCs w:val="24"/>
          <w:highlight w:val="none"/>
        </w:rPr>
        <w:t>：</w:t>
      </w:r>
      <w:r>
        <w:rPr>
          <w:rFonts w:ascii="宋体" w:hAnsi="宋体" w:cs="宋体"/>
          <w:color w:val="auto"/>
          <w:szCs w:val="24"/>
          <w:highlight w:val="none"/>
        </w:rPr>
        <w:t xml:space="preserve">模拟 </w:t>
      </w:r>
      <w:r>
        <w:rPr>
          <w:rFonts w:hint="eastAsia" w:ascii="宋体" w:hAnsi="宋体" w:cs="宋体"/>
          <w:color w:val="auto"/>
          <w:szCs w:val="24"/>
          <w:highlight w:val="none"/>
        </w:rPr>
        <w:t>1</w:t>
      </w:r>
      <w:r>
        <w:rPr>
          <w:rFonts w:ascii="宋体" w:hAnsi="宋体" w:cs="宋体"/>
          <w:color w:val="auto"/>
          <w:szCs w:val="24"/>
          <w:highlight w:val="none"/>
        </w:rPr>
        <w:t>0 并发用户场景，测试响应时间、吞吐量、CPU / 内存占用率</w:t>
      </w:r>
      <w:r>
        <w:rPr>
          <w:rFonts w:hint="eastAsia" w:ascii="宋体" w:hAnsi="宋体" w:cs="宋体"/>
          <w:color w:val="auto"/>
          <w:szCs w:val="24"/>
          <w:highlight w:val="none"/>
        </w:rPr>
        <w:t>；</w:t>
      </w:r>
    </w:p>
    <w:p w14:paraId="38CD9367">
      <w:pPr>
        <w:pStyle w:val="51"/>
        <w:numPr>
          <w:ilvl w:val="0"/>
          <w:numId w:val="12"/>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兼容性测试</w:t>
      </w:r>
      <w:r>
        <w:rPr>
          <w:rFonts w:hint="eastAsia" w:ascii="宋体" w:hAnsi="宋体" w:cs="宋体"/>
          <w:color w:val="auto"/>
          <w:szCs w:val="24"/>
          <w:highlight w:val="none"/>
        </w:rPr>
        <w:t>：</w:t>
      </w:r>
      <w:r>
        <w:rPr>
          <w:rFonts w:ascii="宋体" w:hAnsi="宋体" w:cs="宋体"/>
          <w:color w:val="auto"/>
          <w:szCs w:val="24"/>
          <w:highlight w:val="none"/>
        </w:rPr>
        <w:t>验证在政务云环境、国产浏览器、达梦数据库下的运行稳定性</w:t>
      </w:r>
      <w:r>
        <w:rPr>
          <w:rFonts w:hint="eastAsia" w:ascii="宋体" w:hAnsi="宋体" w:cs="宋体"/>
          <w:color w:val="auto"/>
          <w:szCs w:val="24"/>
          <w:highlight w:val="none"/>
        </w:rPr>
        <w:t>；</w:t>
      </w:r>
    </w:p>
    <w:p w14:paraId="738C2CED">
      <w:pPr>
        <w:pStyle w:val="51"/>
        <w:snapToGrid/>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（4）</w:t>
      </w:r>
      <w:r>
        <w:rPr>
          <w:rFonts w:ascii="宋体" w:hAnsi="宋体" w:cs="宋体"/>
          <w:color w:val="auto"/>
          <w:szCs w:val="24"/>
          <w:highlight w:val="none"/>
        </w:rPr>
        <w:t>数据迁移测试</w:t>
      </w:r>
      <w:r>
        <w:rPr>
          <w:rFonts w:hint="eastAsia" w:ascii="宋体" w:hAnsi="宋体" w:cs="宋体"/>
          <w:color w:val="auto"/>
          <w:szCs w:val="24"/>
          <w:highlight w:val="none"/>
        </w:rPr>
        <w:t>：</w:t>
      </w:r>
      <w:r>
        <w:rPr>
          <w:rFonts w:ascii="宋体" w:hAnsi="宋体" w:cs="宋体"/>
          <w:color w:val="auto"/>
          <w:szCs w:val="24"/>
          <w:highlight w:val="none"/>
        </w:rPr>
        <w:t>比对迁移前后数据完整性、一致性，确保无丢失或错误</w:t>
      </w:r>
      <w:r>
        <w:rPr>
          <w:rFonts w:hint="eastAsia" w:ascii="宋体" w:hAnsi="宋体" w:cs="宋体"/>
          <w:color w:val="auto"/>
          <w:szCs w:val="24"/>
          <w:highlight w:val="none"/>
        </w:rPr>
        <w:t>。</w:t>
      </w:r>
    </w:p>
    <w:p w14:paraId="53623352">
      <w:pPr>
        <w:numPr>
          <w:ilvl w:val="0"/>
          <w:numId w:val="6"/>
        </w:numPr>
        <w:spacing w:line="480" w:lineRule="exact"/>
        <w:ind w:left="0" w:firstLine="482"/>
        <w:rPr>
          <w:rFonts w:hint="eastAsia" w:ascii="宋体" w:hAnsi="宋体" w:cs="宋体"/>
          <w:b/>
          <w:bCs/>
          <w:color w:val="auto"/>
          <w:szCs w:val="24"/>
          <w:highlight w:val="none"/>
        </w:rPr>
      </w:pPr>
      <w:r>
        <w:rPr>
          <w:rFonts w:hint="eastAsia" w:ascii="宋体" w:hAnsi="宋体" w:cs="宋体"/>
          <w:b/>
          <w:bCs/>
          <w:color w:val="auto"/>
          <w:szCs w:val="24"/>
          <w:highlight w:val="none"/>
        </w:rPr>
        <w:t>系统验收：</w:t>
      </w:r>
    </w:p>
    <w:p w14:paraId="2929B6D8">
      <w:pPr>
        <w:pStyle w:val="51"/>
        <w:numPr>
          <w:ilvl w:val="0"/>
          <w:numId w:val="13"/>
        </w:numPr>
        <w:snapToGrid/>
        <w:spacing w:line="480" w:lineRule="exact"/>
        <w:ind w:firstLine="482" w:firstLineChars="0"/>
        <w:rPr>
          <w:rFonts w:hint="eastAsia" w:ascii="宋体" w:hAnsi="宋体" w:cs="宋体"/>
          <w:color w:val="auto"/>
          <w:szCs w:val="24"/>
          <w:highlight w:val="none"/>
        </w:rPr>
      </w:pPr>
      <w:r>
        <w:rPr>
          <w:rFonts w:ascii="宋体" w:hAnsi="宋体" w:cs="宋体"/>
          <w:color w:val="auto"/>
          <w:szCs w:val="24"/>
          <w:highlight w:val="none"/>
        </w:rPr>
        <w:t>功能测试通过率100%，性能指标达标，数据迁移准确率100%</w:t>
      </w:r>
      <w:r>
        <w:rPr>
          <w:rFonts w:hint="eastAsia" w:ascii="宋体" w:hAnsi="宋体" w:cs="宋体"/>
          <w:color w:val="auto"/>
          <w:szCs w:val="24"/>
          <w:highlight w:val="none"/>
        </w:rPr>
        <w:t>；</w:t>
      </w:r>
    </w:p>
    <w:p w14:paraId="5B5C74A0">
      <w:pPr>
        <w:pStyle w:val="51"/>
        <w:numPr>
          <w:ilvl w:val="0"/>
          <w:numId w:val="13"/>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提供完整的技术文档（含迁移方案、测试报告、运维手册等）</w:t>
      </w:r>
      <w:r>
        <w:rPr>
          <w:rFonts w:hint="eastAsia" w:ascii="宋体" w:hAnsi="宋体" w:cs="宋体"/>
          <w:color w:val="auto"/>
          <w:szCs w:val="24"/>
          <w:highlight w:val="none"/>
        </w:rPr>
        <w:t>；</w:t>
      </w:r>
    </w:p>
    <w:p w14:paraId="24BAD25F">
      <w:pPr>
        <w:pStyle w:val="51"/>
        <w:numPr>
          <w:ilvl w:val="0"/>
          <w:numId w:val="13"/>
        </w:numPr>
        <w:snapToGrid/>
        <w:spacing w:line="480" w:lineRule="exact"/>
        <w:ind w:firstLine="480"/>
        <w:rPr>
          <w:rFonts w:hint="eastAsia" w:ascii="宋体" w:hAnsi="宋体" w:cs="宋体"/>
          <w:color w:val="auto"/>
          <w:szCs w:val="24"/>
          <w:highlight w:val="none"/>
        </w:rPr>
      </w:pPr>
      <w:r>
        <w:rPr>
          <w:rFonts w:ascii="宋体" w:hAnsi="宋体" w:cs="宋体"/>
          <w:color w:val="auto"/>
          <w:szCs w:val="24"/>
          <w:highlight w:val="none"/>
        </w:rPr>
        <w:t>系统稳定运行30天无重大故障，通过</w:t>
      </w:r>
      <w:r>
        <w:rPr>
          <w:rFonts w:hint="eastAsia" w:ascii="宋体" w:hAnsi="宋体" w:cs="宋体"/>
          <w:color w:val="auto"/>
          <w:szCs w:val="24"/>
          <w:highlight w:val="none"/>
        </w:rPr>
        <w:t>甲方</w:t>
      </w:r>
      <w:r>
        <w:rPr>
          <w:rFonts w:ascii="宋体" w:hAnsi="宋体" w:cs="宋体"/>
          <w:color w:val="auto"/>
          <w:szCs w:val="24"/>
          <w:highlight w:val="none"/>
        </w:rPr>
        <w:t>组织的最终验收</w:t>
      </w:r>
      <w:r>
        <w:rPr>
          <w:rFonts w:hint="eastAsia" w:ascii="宋体" w:hAnsi="宋体" w:cs="宋体"/>
          <w:color w:val="auto"/>
          <w:szCs w:val="24"/>
          <w:highlight w:val="none"/>
        </w:rPr>
        <w:t>。</w:t>
      </w:r>
    </w:p>
    <w:p w14:paraId="6575007B">
      <w:pPr>
        <w:pStyle w:val="51"/>
        <w:snapToGrid/>
        <w:spacing w:line="480" w:lineRule="exact"/>
        <w:ind w:firstLine="480"/>
        <w:rPr>
          <w:rFonts w:ascii="宋体" w:hAnsi="宋体" w:cs="宋体"/>
          <w:color w:val="auto"/>
          <w:szCs w:val="24"/>
          <w:highlight w:val="none"/>
        </w:rPr>
      </w:pPr>
    </w:p>
    <w:p w14:paraId="7ED3FB94">
      <w:pPr>
        <w:pStyle w:val="51"/>
        <w:snapToGrid/>
        <w:spacing w:line="480" w:lineRule="exact"/>
        <w:ind w:firstLine="480"/>
        <w:rPr>
          <w:rFonts w:hint="eastAsia" w:ascii="宋体" w:hAnsi="宋体" w:cs="宋体"/>
          <w:color w:val="auto"/>
          <w:szCs w:val="24"/>
          <w:highlight w:val="none"/>
        </w:rPr>
      </w:pPr>
    </w:p>
    <w:p w14:paraId="2608E501">
      <w:pPr>
        <w:pStyle w:val="3"/>
        <w:numPr>
          <w:ilvl w:val="0"/>
          <w:numId w:val="0"/>
        </w:numPr>
        <w:spacing w:before="0"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五、项目实施要求</w:t>
      </w:r>
    </w:p>
    <w:p w14:paraId="20831B98">
      <w:pPr>
        <w:pStyle w:val="4"/>
        <w:numPr>
          <w:ilvl w:val="0"/>
          <w:numId w:val="14"/>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建设工期与服务地点</w:t>
      </w:r>
    </w:p>
    <w:p w14:paraId="59FBF70D">
      <w:pPr>
        <w:pStyle w:val="8"/>
        <w:numPr>
          <w:ilvl w:val="0"/>
          <w:numId w:val="15"/>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建设工期为2个月。合同签订后的2个月内完成软件系统研发和联调测试，交付上线试运行，由采购单位组织项目验收。</w:t>
      </w:r>
    </w:p>
    <w:p w14:paraId="39DD646C">
      <w:pPr>
        <w:pStyle w:val="8"/>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响应单位应结合采购单位建设要求，按照标准化项目实施管理规范，组建符合要求的实施团队，制定符合实际的实施计划和质量保障方案，科学开展项目实施工作，按时保质保量地完成项目交付。</w:t>
      </w:r>
    </w:p>
    <w:p w14:paraId="7EA05892">
      <w:pPr>
        <w:pStyle w:val="8"/>
        <w:numPr>
          <w:ilvl w:val="0"/>
          <w:numId w:val="15"/>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服务地点：</w:t>
      </w:r>
      <w:r>
        <w:rPr>
          <w:rFonts w:hint="eastAsia" w:ascii="宋体" w:hAnsi="宋体" w:cs="宋体"/>
          <w:color w:val="auto"/>
          <w:szCs w:val="24"/>
          <w:highlight w:val="none"/>
          <w:lang w:val="en-US" w:eastAsia="zh-CN"/>
        </w:rPr>
        <w:t>江苏太仓港口</w:t>
      </w:r>
      <w:r>
        <w:rPr>
          <w:rFonts w:hint="eastAsia" w:ascii="宋体" w:hAnsi="宋体" w:cs="宋体"/>
          <w:color w:val="auto"/>
          <w:szCs w:val="24"/>
          <w:highlight w:val="none"/>
        </w:rPr>
        <w:t>管理委员会</w:t>
      </w:r>
    </w:p>
    <w:p w14:paraId="5E681022">
      <w:pPr>
        <w:pStyle w:val="4"/>
        <w:numPr>
          <w:ilvl w:val="0"/>
          <w:numId w:val="14"/>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项目组织机构</w:t>
      </w:r>
    </w:p>
    <w:p w14:paraId="3646AB8C">
      <w:pPr>
        <w:pStyle w:val="8"/>
        <w:spacing w:line="480" w:lineRule="exact"/>
        <w:ind w:firstLine="480"/>
        <w:rPr>
          <w:rFonts w:hint="eastAsia" w:ascii="宋体" w:hAnsi="宋体" w:cs="宋体"/>
          <w:b/>
          <w:bCs/>
          <w:color w:val="auto"/>
          <w:szCs w:val="24"/>
          <w:highlight w:val="none"/>
          <w:lang w:eastAsia="en-US"/>
        </w:rPr>
      </w:pPr>
      <w:r>
        <w:rPr>
          <w:rFonts w:hint="eastAsia" w:ascii="宋体" w:hAnsi="宋体" w:cs="宋体"/>
          <w:color w:val="auto"/>
          <w:szCs w:val="24"/>
          <w:highlight w:val="none"/>
        </w:rPr>
        <w:t>应有明晰的组织机构，项目实施人员齐全，岗位职责明确，能高标准的实施项目管理。在项目实施期间，系统开发人员不得少于4人，并积极配合采购人完成与其他项目的应用对接，提供相关工作内容的技术支持。</w:t>
      </w:r>
      <w:r>
        <w:rPr>
          <w:rFonts w:hint="eastAsia" w:ascii="宋体" w:hAnsi="宋体" w:cs="宋体"/>
          <w:b/>
          <w:bCs/>
          <w:color w:val="auto"/>
          <w:szCs w:val="24"/>
          <w:highlight w:val="none"/>
        </w:rPr>
        <w:t>（以上为实质性响应要求，提供承诺函，格式自拟，不满足作废标处理。</w:t>
      </w:r>
      <w:r>
        <w:rPr>
          <w:rFonts w:hint="eastAsia" w:ascii="宋体" w:hAnsi="宋体" w:cs="宋体"/>
          <w:b/>
          <w:bCs/>
          <w:color w:val="auto"/>
          <w:szCs w:val="24"/>
          <w:highlight w:val="none"/>
          <w:lang w:eastAsia="en-US"/>
        </w:rPr>
        <w:t>）</w:t>
      </w:r>
    </w:p>
    <w:p w14:paraId="58B1A174">
      <w:pPr>
        <w:pStyle w:val="4"/>
        <w:numPr>
          <w:ilvl w:val="0"/>
          <w:numId w:val="14"/>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项目实施计划</w:t>
      </w:r>
    </w:p>
    <w:p w14:paraId="544C6D2C">
      <w:pPr>
        <w:pStyle w:val="8"/>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项目实施进度计划是对软件开发过程的任务、时间和资源的规划安排。应提供详细的项目实施步骤，并明确项目进度计划、变更管理计划、项目测试计划和项目验收计划，全方位保障项目从执行到交付各环节有序开展。</w:t>
      </w:r>
    </w:p>
    <w:p w14:paraId="535E4BED">
      <w:pPr>
        <w:pStyle w:val="4"/>
        <w:numPr>
          <w:ilvl w:val="0"/>
          <w:numId w:val="14"/>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项目过程管理</w:t>
      </w:r>
    </w:p>
    <w:p w14:paraId="32B4AB87">
      <w:pPr>
        <w:pStyle w:val="8"/>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项目过程管理是保障项目顺利推进的关键环节，良好的过程管理不仅有助于合理规划和把控项目进度，确保各项工作按计划有序推进，还能有效降低开发过程中的风险，提高交付质量。项目过程管理应涵盖项目进度管理、开发过程管理、项目变更管理、项目文档管理、项目沟通管理等。</w:t>
      </w:r>
    </w:p>
    <w:p w14:paraId="05074829">
      <w:pPr>
        <w:pStyle w:val="4"/>
        <w:numPr>
          <w:ilvl w:val="0"/>
          <w:numId w:val="14"/>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项目质量保障措施</w:t>
      </w:r>
    </w:p>
    <w:p w14:paraId="0DFEF650">
      <w:p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为实现高质量的项目交付，必须明确质量管理的任务和目标，并根据项目的不同阶段（如设计阶段、准备阶段、实施阶段、验收阶段）制定切实可行且有效的质量管理措施。通过在项目不同阶段设定明确的质量标准和管理措施，可以有效预防潜在问题的发生，及时发现并解决质量问题，从而减少返工的风险，保证项目按时高质量地完成。</w:t>
      </w:r>
    </w:p>
    <w:p w14:paraId="42D98E6D">
      <w:pPr>
        <w:pStyle w:val="4"/>
        <w:numPr>
          <w:ilvl w:val="0"/>
          <w:numId w:val="14"/>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项目实施风险控制</w:t>
      </w:r>
    </w:p>
    <w:p w14:paraId="089C4873">
      <w:p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明确项目实施</w:t>
      </w:r>
      <w:bookmarkStart w:id="9" w:name="_GoBack"/>
      <w:bookmarkEnd w:id="9"/>
      <w:r>
        <w:rPr>
          <w:rFonts w:hint="eastAsia" w:ascii="宋体" w:hAnsi="宋体" w:cs="宋体"/>
          <w:color w:val="auto"/>
          <w:szCs w:val="24"/>
          <w:highlight w:val="none"/>
        </w:rPr>
        <w:t>过程中可能存在的风险以及制定相应风险控制措施方法。软件实施存在需求风险、技术风险、管理风险、数据风险等，针对上述不同的风险制定不同控制措施。</w:t>
      </w:r>
    </w:p>
    <w:p w14:paraId="0128CEBE">
      <w:pPr>
        <w:pStyle w:val="3"/>
        <w:numPr>
          <w:ilvl w:val="0"/>
          <w:numId w:val="0"/>
        </w:numPr>
        <w:spacing w:before="0" w:after="0" w:line="480" w:lineRule="exac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七、</w:t>
      </w:r>
      <w:r>
        <w:rPr>
          <w:rFonts w:hint="eastAsia" w:ascii="宋体" w:hAnsi="宋体" w:cs="宋体"/>
          <w:color w:val="auto"/>
          <w:sz w:val="24"/>
          <w:szCs w:val="24"/>
          <w:highlight w:val="none"/>
        </w:rPr>
        <w:t>售后服务要求</w:t>
      </w:r>
    </w:p>
    <w:p w14:paraId="073B67A7">
      <w:pPr>
        <w:pStyle w:val="4"/>
        <w:numPr>
          <w:ilvl w:val="0"/>
          <w:numId w:val="16"/>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质保期及驻场要求</w:t>
      </w:r>
    </w:p>
    <w:p w14:paraId="2D202F50">
      <w:pPr>
        <w:pStyle w:val="8"/>
        <w:numPr>
          <w:ilvl w:val="0"/>
          <w:numId w:val="17"/>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质保期：提供自项目验收合格之日起1年免费质保服务。</w:t>
      </w:r>
      <w:r>
        <w:rPr>
          <w:rFonts w:hint="eastAsia" w:ascii="宋体" w:hAnsi="宋体" w:cs="宋体"/>
          <w:b/>
          <w:bCs/>
          <w:color w:val="auto"/>
          <w:szCs w:val="24"/>
          <w:highlight w:val="none"/>
          <w:lang w:bidi="ar"/>
        </w:rPr>
        <w:t>（以上为实质性响应要求，提供承诺函，格式自拟，不满足作废标处理。</w:t>
      </w:r>
      <w:r>
        <w:rPr>
          <w:rFonts w:hint="eastAsia" w:ascii="宋体" w:hAnsi="宋体" w:cs="宋体"/>
          <w:b/>
          <w:bCs/>
          <w:color w:val="auto"/>
          <w:szCs w:val="24"/>
          <w:highlight w:val="none"/>
          <w:lang w:eastAsia="en-US" w:bidi="ar"/>
        </w:rPr>
        <w:t>）</w:t>
      </w:r>
    </w:p>
    <w:p w14:paraId="16D11CC1">
      <w:pPr>
        <w:pStyle w:val="4"/>
        <w:numPr>
          <w:ilvl w:val="0"/>
          <w:numId w:val="16"/>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售后服务保障</w:t>
      </w:r>
    </w:p>
    <w:p w14:paraId="7A4DA0D8">
      <w:pPr>
        <w:pStyle w:val="8"/>
        <w:numPr>
          <w:ilvl w:val="0"/>
          <w:numId w:val="18"/>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明确服务目标和服务方式，并制定服务原则及策略，确保售后服务工作能够按时稳步完成。同时，制定相关管理制度规范保障，确保服务时间，服务人员行为，现场技术支持，问题记录等符合规范要求。</w:t>
      </w:r>
    </w:p>
    <w:p w14:paraId="3E53F190">
      <w:pPr>
        <w:pStyle w:val="8"/>
        <w:numPr>
          <w:ilvl w:val="0"/>
          <w:numId w:val="18"/>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中标人应根据不同情况设定不同的故障级别，并就不同故障级别提出对应的故障响应方案。在维护期内要求中标人提供7×24小时不间断的技术支持响应，在采购人提出服务要求后，中标人需在30分钟内响应，1小时内到达现场并提出解决方案，4小时内处理完毕。</w:t>
      </w:r>
    </w:p>
    <w:p w14:paraId="40067D49">
      <w:pPr>
        <w:pStyle w:val="4"/>
        <w:numPr>
          <w:ilvl w:val="0"/>
          <w:numId w:val="16"/>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项目培训要求</w:t>
      </w:r>
    </w:p>
    <w:p w14:paraId="187FA33C">
      <w:pPr>
        <w:pStyle w:val="8"/>
        <w:numPr>
          <w:ilvl w:val="0"/>
          <w:numId w:val="19"/>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要求针对本项目应用平台及采用的相关技术等提出全面培训计划和培训方案并征得业务主管部门领导的同意后实施。</w:t>
      </w:r>
    </w:p>
    <w:p w14:paraId="1165F9A9">
      <w:pPr>
        <w:pStyle w:val="8"/>
        <w:numPr>
          <w:ilvl w:val="0"/>
          <w:numId w:val="19"/>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培训对象主要分为涉及该项目的各类人员，必须针对不同的对象制定不同的培训计划，并分别培训。培训内容将涵盖各类用户业务、系统操作、技术框架使用培训。</w:t>
      </w:r>
    </w:p>
    <w:p w14:paraId="7F187900">
      <w:pPr>
        <w:pStyle w:val="8"/>
        <w:numPr>
          <w:ilvl w:val="0"/>
          <w:numId w:val="19"/>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要求对所有被培训人员进行现场培训，提供文字资料、讲义等相关用品。所有的资料必须是中文书写。</w:t>
      </w:r>
    </w:p>
    <w:p w14:paraId="2E898077">
      <w:pPr>
        <w:pStyle w:val="8"/>
        <w:numPr>
          <w:ilvl w:val="0"/>
          <w:numId w:val="19"/>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所有的培训费用包括差旅、食宿、教材、资料等由中标人负责，均计入投标报价中。</w:t>
      </w:r>
    </w:p>
    <w:p w14:paraId="69DA00E3">
      <w:pPr>
        <w:pStyle w:val="4"/>
        <w:numPr>
          <w:ilvl w:val="0"/>
          <w:numId w:val="16"/>
        </w:numPr>
        <w:spacing w:before="0" w:after="0" w:line="480" w:lineRule="exact"/>
        <w:ind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售后运维要求</w:t>
      </w:r>
    </w:p>
    <w:p w14:paraId="31684335">
      <w:pPr>
        <w:pStyle w:val="8"/>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售后运维服务工作的内容包括</w:t>
      </w:r>
      <w:r>
        <w:rPr>
          <w:rFonts w:hint="eastAsia" w:ascii="宋体" w:hAnsi="宋体" w:cs="宋体"/>
          <w:color w:val="auto"/>
          <w:szCs w:val="24"/>
          <w:highlight w:val="none"/>
        </w:rPr>
        <w:t>驻场服务、</w:t>
      </w:r>
      <w:r>
        <w:rPr>
          <w:rFonts w:hint="eastAsia" w:ascii="宋体" w:hAnsi="宋体" w:cs="宋体"/>
          <w:color w:val="auto"/>
          <w:szCs w:val="24"/>
          <w:highlight w:val="none"/>
        </w:rPr>
        <w:t>日常运维、技术支持、高级服务和紧急事件预案等服务。</w:t>
      </w:r>
    </w:p>
    <w:p w14:paraId="5A5CB3D7">
      <w:pPr>
        <w:numPr>
          <w:ilvl w:val="0"/>
          <w:numId w:val="20"/>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提供服务期限内1年至少2人的驻场服务，其中1人必须是专业技术开发人员，解决系统相关的系统使用培训和系统开发完善工作。</w:t>
      </w:r>
    </w:p>
    <w:p w14:paraId="79188833">
      <w:pPr>
        <w:numPr>
          <w:ilvl w:val="0"/>
          <w:numId w:val="20"/>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日常运维服务包括例行巡检、系统管理、系统维护、数据维护、数据库维护、应急处理、紧急事件预案等。</w:t>
      </w:r>
    </w:p>
    <w:p w14:paraId="30D294F0">
      <w:pPr>
        <w:numPr>
          <w:ilvl w:val="0"/>
          <w:numId w:val="20"/>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技术支持包括日常技术保障、日常故障处理、系统故障处理、技术解答、源码验证和部署、数据交换等。</w:t>
      </w:r>
    </w:p>
    <w:p w14:paraId="7078C8C2">
      <w:pPr>
        <w:numPr>
          <w:ilvl w:val="0"/>
          <w:numId w:val="20"/>
        </w:numPr>
        <w:spacing w:line="48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高级服务包括系统性能优化、扩展开发、异构平台故障排查、新平台接入的接口开发等。</w:t>
      </w:r>
    </w:p>
    <w:p w14:paraId="22C01CF8">
      <w:pPr>
        <w:numPr>
          <w:ilvl w:val="0"/>
          <w:numId w:val="20"/>
        </w:numPr>
        <w:spacing w:line="480" w:lineRule="exact"/>
        <w:ind w:firstLine="480"/>
        <w:rPr>
          <w:rFonts w:hint="eastAsia" w:ascii="宋体" w:hAnsi="宋体" w:cs="宋体"/>
          <w:b/>
          <w:color w:val="auto"/>
          <w:szCs w:val="24"/>
          <w:highlight w:val="none"/>
        </w:rPr>
      </w:pPr>
      <w:r>
        <w:rPr>
          <w:rFonts w:hint="eastAsia" w:ascii="宋体" w:hAnsi="宋体" w:cs="宋体"/>
          <w:color w:val="auto"/>
          <w:szCs w:val="24"/>
          <w:highlight w:val="none"/>
        </w:rPr>
        <w:t>在服务期末提供《系统运维服务报告》，对整个服务期的服务工作进行总结、汇报。</w:t>
      </w:r>
    </w:p>
    <w:p w14:paraId="02F0E14F">
      <w:pPr>
        <w:pStyle w:val="3"/>
        <w:numPr>
          <w:ilvl w:val="0"/>
          <w:numId w:val="0"/>
        </w:numPr>
        <w:spacing w:before="0" w:after="0" w:line="480" w:lineRule="exac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八、</w:t>
      </w:r>
      <w:r>
        <w:rPr>
          <w:rFonts w:hint="eastAsia" w:ascii="宋体" w:hAnsi="宋体" w:cs="宋体"/>
          <w:color w:val="auto"/>
          <w:sz w:val="24"/>
          <w:szCs w:val="24"/>
          <w:highlight w:val="none"/>
        </w:rPr>
        <w:t>支付方式</w:t>
      </w:r>
    </w:p>
    <w:p w14:paraId="72B9ACBB">
      <w:pPr>
        <w:spacing w:line="560" w:lineRule="exact"/>
        <w:ind w:firstLine="480" w:firstLineChars="200"/>
        <w:rPr>
          <w:rFonts w:hint="eastAsia" w:ascii="宋体" w:hAnsi="宋体" w:cs="宋体"/>
          <w:color w:val="auto"/>
          <w:szCs w:val="24"/>
          <w:highlight w:val="none"/>
        </w:rPr>
      </w:pPr>
      <w:r>
        <w:rPr>
          <w:rFonts w:hint="eastAsia" w:ascii="宋体" w:hAnsi="宋体" w:cs="宋体"/>
          <w:color w:val="auto"/>
          <w:sz w:val="24"/>
          <w:szCs w:val="24"/>
          <w:highlight w:val="none"/>
          <w:lang w:bidi="ar"/>
        </w:rPr>
        <w:t>合同签订并收到发票后</w:t>
      </w:r>
      <w:r>
        <w:rPr>
          <w:rFonts w:hint="eastAsia" w:ascii="宋体" w:hAnsi="宋体" w:cs="宋体"/>
          <w:color w:val="auto"/>
          <w:sz w:val="24"/>
          <w:szCs w:val="24"/>
          <w:highlight w:val="none"/>
          <w:lang w:val="en-US" w:eastAsia="zh-CN" w:bidi="ar"/>
        </w:rPr>
        <w:t>30</w:t>
      </w:r>
      <w:r>
        <w:rPr>
          <w:rFonts w:hint="eastAsia" w:ascii="宋体" w:hAnsi="宋体" w:cs="宋体"/>
          <w:color w:val="auto"/>
          <w:sz w:val="24"/>
          <w:szCs w:val="24"/>
          <w:highlight w:val="none"/>
          <w:lang w:bidi="ar"/>
        </w:rPr>
        <w:t>日内支付</w:t>
      </w:r>
      <w:r>
        <w:rPr>
          <w:rFonts w:hint="eastAsia" w:ascii="宋体" w:hAnsi="宋体" w:cs="宋体"/>
          <w:color w:val="auto"/>
          <w:sz w:val="24"/>
          <w:szCs w:val="24"/>
          <w:highlight w:val="none"/>
          <w:lang w:val="en-US" w:eastAsia="zh-CN" w:bidi="ar"/>
        </w:rPr>
        <w:t>第一笔款项30%</w:t>
      </w:r>
      <w:r>
        <w:rPr>
          <w:rFonts w:hint="eastAsia" w:ascii="宋体" w:hAnsi="宋体" w:cs="宋体"/>
          <w:color w:val="auto"/>
          <w:sz w:val="24"/>
          <w:szCs w:val="24"/>
          <w:highlight w:val="none"/>
          <w:lang w:bidi="ar"/>
        </w:rPr>
        <w:t>（具体金额根据</w:t>
      </w:r>
      <w:r>
        <w:rPr>
          <w:rFonts w:hint="eastAsia" w:ascii="宋体" w:hAnsi="宋体" w:cs="宋体"/>
          <w:color w:val="auto"/>
          <w:sz w:val="24"/>
          <w:szCs w:val="24"/>
          <w:highlight w:val="none"/>
          <w:lang w:bidi="ar"/>
        </w:rPr>
        <w:t>中标价由双方在合同中约定）,项目验收通过、余款</w:t>
      </w:r>
      <w:r>
        <w:rPr>
          <w:rFonts w:hint="eastAsia" w:ascii="宋体" w:hAnsi="宋体" w:cs="宋体"/>
          <w:color w:val="auto"/>
          <w:sz w:val="24"/>
          <w:szCs w:val="24"/>
          <w:highlight w:val="none"/>
          <w:lang w:val="en-US" w:eastAsia="zh-CN" w:bidi="ar"/>
        </w:rPr>
        <w:t>按合同约定情况</w:t>
      </w:r>
      <w:r>
        <w:rPr>
          <w:rFonts w:hint="eastAsia" w:ascii="宋体" w:hAnsi="宋体" w:cs="宋体"/>
          <w:color w:val="auto"/>
          <w:sz w:val="24"/>
          <w:szCs w:val="24"/>
          <w:highlight w:val="none"/>
          <w:lang w:bidi="ar"/>
        </w:rPr>
        <w:t>支付</w:t>
      </w:r>
      <w:r>
        <w:rPr>
          <w:rFonts w:hint="eastAsia" w:ascii="宋体" w:hAnsi="宋体" w:cs="宋体"/>
          <w:color w:val="auto"/>
          <w:sz w:val="24"/>
          <w:szCs w:val="24"/>
          <w:highlight w:val="none"/>
        </w:rPr>
        <w:t>。</w:t>
      </w:r>
    </w:p>
    <w:p w14:paraId="6D8152DE">
      <w:pPr>
        <w:adjustRightInd w:val="0"/>
        <w:snapToGrid w:val="0"/>
        <w:spacing w:line="480" w:lineRule="exact"/>
        <w:ind w:firstLine="0" w:firstLineChars="0"/>
        <w:jc w:val="left"/>
        <w:textAlignment w:val="baseline"/>
        <w:rPr>
          <w:rFonts w:hint="eastAsia" w:ascii="宋体" w:hAnsi="宋体" w:cs="宋体"/>
          <w:b/>
          <w:color w:val="auto"/>
          <w:szCs w:val="24"/>
          <w:highlight w:val="none"/>
        </w:rPr>
      </w:pPr>
      <w:r>
        <w:rPr>
          <w:rFonts w:hint="eastAsia" w:ascii="宋体" w:hAnsi="宋体" w:cs="宋体"/>
          <w:b/>
          <w:color w:val="auto"/>
          <w:szCs w:val="24"/>
          <w:highlight w:val="none"/>
        </w:rPr>
        <w:t>九、报价要求</w:t>
      </w:r>
    </w:p>
    <w:p w14:paraId="2F6C0872">
      <w:pPr>
        <w:adjustRightInd w:val="0"/>
        <w:snapToGrid w:val="0"/>
        <w:spacing w:line="480" w:lineRule="exact"/>
        <w:ind w:firstLine="480"/>
        <w:jc w:val="left"/>
        <w:textAlignment w:val="baseline"/>
        <w:rPr>
          <w:rFonts w:hint="eastAsia" w:ascii="宋体" w:hAnsi="宋体" w:cs="宋体"/>
          <w:bCs/>
          <w:color w:val="auto"/>
          <w:szCs w:val="24"/>
          <w:highlight w:val="none"/>
        </w:rPr>
      </w:pPr>
      <w:r>
        <w:rPr>
          <w:rFonts w:hint="eastAsia" w:ascii="宋体" w:hAnsi="宋体" w:cs="宋体"/>
          <w:bCs/>
          <w:color w:val="auto"/>
          <w:szCs w:val="24"/>
          <w:highlight w:val="none"/>
        </w:rPr>
        <w:t>1、投标人须对所投项目标段中的所有内容进行投报，否则作无效投标处理。</w:t>
      </w:r>
    </w:p>
    <w:p w14:paraId="7DA44158">
      <w:pPr>
        <w:adjustRightInd w:val="0"/>
        <w:snapToGrid w:val="0"/>
        <w:spacing w:line="480" w:lineRule="exact"/>
        <w:ind w:firstLine="480"/>
        <w:jc w:val="left"/>
        <w:textAlignment w:val="baseline"/>
        <w:rPr>
          <w:rFonts w:hint="eastAsia" w:ascii="宋体" w:hAnsi="宋体" w:cs="宋体"/>
          <w:bCs/>
          <w:color w:val="auto"/>
          <w:szCs w:val="24"/>
          <w:highlight w:val="none"/>
        </w:rPr>
      </w:pPr>
      <w:r>
        <w:rPr>
          <w:rFonts w:hint="eastAsia" w:ascii="宋体" w:hAnsi="宋体" w:cs="宋体"/>
          <w:bCs/>
          <w:color w:val="auto"/>
          <w:szCs w:val="24"/>
          <w:highlight w:val="none"/>
        </w:rPr>
        <w:t>2、投标应以人民币报价，投标总价一次报定，报价均已包括本项目的所有费用，包括但不限于由投标人为实施和完成本合同所承担的全部费用和要求获得的利润，包括货物、辅材、配件、运输、管理、维护、保险、利润、税金、保险、抽样产品检测费用、现场安装调试达到正常可使用状态、政策性文件规定及合同包含的所有风险、责任等各项应有费用。项目实施过程中如果因自身原因造成辅助材料缺漏，投标人负责无条件补齐，不再增加费用。</w:t>
      </w:r>
    </w:p>
    <w:p w14:paraId="569A3FFE">
      <w:pPr>
        <w:adjustRightInd w:val="0"/>
        <w:snapToGrid w:val="0"/>
        <w:spacing w:line="480" w:lineRule="exact"/>
        <w:ind w:firstLine="480"/>
        <w:jc w:val="left"/>
        <w:textAlignment w:val="baseline"/>
        <w:rPr>
          <w:rFonts w:hint="eastAsia" w:ascii="宋体" w:hAnsi="宋体" w:cs="宋体"/>
          <w:b/>
          <w:color w:val="auto"/>
          <w:szCs w:val="24"/>
          <w:highlight w:val="none"/>
        </w:rPr>
      </w:pPr>
      <w:r>
        <w:rPr>
          <w:rFonts w:hint="eastAsia" w:ascii="宋体" w:hAnsi="宋体" w:cs="宋体"/>
          <w:bCs/>
          <w:color w:val="auto"/>
          <w:szCs w:val="24"/>
          <w:highlight w:val="none"/>
        </w:rPr>
        <w:t>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bookmarkStart w:id="7" w:name="OLE_LINK5"/>
    </w:p>
    <w:p w14:paraId="227B435B">
      <w:pPr>
        <w:adjustRightInd w:val="0"/>
        <w:snapToGrid w:val="0"/>
        <w:spacing w:line="480" w:lineRule="exact"/>
        <w:ind w:firstLine="0" w:firstLineChars="0"/>
        <w:jc w:val="left"/>
        <w:textAlignment w:val="baseline"/>
        <w:rPr>
          <w:rFonts w:hint="eastAsia" w:ascii="宋体" w:hAnsi="宋体" w:cs="宋体"/>
          <w:b/>
          <w:bCs/>
          <w:color w:val="auto"/>
          <w:szCs w:val="24"/>
          <w:highlight w:val="none"/>
        </w:rPr>
      </w:pPr>
      <w:r>
        <w:rPr>
          <w:rFonts w:hint="eastAsia" w:ascii="宋体" w:hAnsi="宋体" w:cs="宋体"/>
          <w:b/>
          <w:color w:val="auto"/>
          <w:szCs w:val="24"/>
          <w:highlight w:val="none"/>
        </w:rPr>
        <w:t>十、</w:t>
      </w:r>
      <w:bookmarkEnd w:id="7"/>
      <w:r>
        <w:rPr>
          <w:rFonts w:hint="eastAsia" w:ascii="宋体" w:hAnsi="宋体" w:cs="宋体"/>
          <w:b/>
          <w:bCs/>
          <w:color w:val="auto"/>
          <w:szCs w:val="24"/>
          <w:highlight w:val="none"/>
        </w:rPr>
        <w:t>其他要求：</w:t>
      </w:r>
    </w:p>
    <w:p w14:paraId="37E85387">
      <w:pPr>
        <w:adjustRightInd w:val="0"/>
        <w:snapToGrid w:val="0"/>
        <w:spacing w:line="440" w:lineRule="exact"/>
        <w:ind w:firstLine="480"/>
        <w:jc w:val="left"/>
        <w:rPr>
          <w:rFonts w:hint="eastAsia" w:ascii="宋体" w:hAnsi="宋体" w:cs="宋体"/>
          <w:color w:val="auto"/>
          <w:szCs w:val="24"/>
          <w:highlight w:val="none"/>
        </w:rPr>
      </w:pPr>
      <w:r>
        <w:rPr>
          <w:rFonts w:hint="eastAsia" w:ascii="宋体" w:hAnsi="宋体" w:cs="宋体"/>
          <w:color w:val="auto"/>
          <w:kern w:val="0"/>
          <w:szCs w:val="24"/>
          <w:highlight w:val="none"/>
        </w:rPr>
        <w:t>1、</w:t>
      </w:r>
      <w:r>
        <w:rPr>
          <w:rFonts w:hint="eastAsia" w:ascii="宋体" w:hAnsi="宋体" w:cs="宋体"/>
          <w:color w:val="auto"/>
          <w:szCs w:val="24"/>
          <w:highlight w:val="none"/>
        </w:rPr>
        <w:t>响应供应商必须承诺采购文件中提出的全部要求，如果以其中某些条款不响应时，应在文件中逐条列出，未列出的视同响应。</w:t>
      </w:r>
    </w:p>
    <w:p w14:paraId="3915BA88">
      <w:pPr>
        <w:pStyle w:val="49"/>
        <w:tabs>
          <w:tab w:val="left" w:pos="360"/>
        </w:tabs>
        <w:adjustRightInd w:val="0"/>
        <w:snapToGrid w:val="0"/>
        <w:spacing w:line="440" w:lineRule="exact"/>
        <w:ind w:firstLine="480"/>
        <w:jc w:val="left"/>
        <w:textAlignment w:val="baseline"/>
        <w:rPr>
          <w:rFonts w:hint="eastAsia" w:hAnsi="宋体" w:cs="宋体"/>
          <w:color w:val="auto"/>
          <w:szCs w:val="24"/>
          <w:highlight w:val="none"/>
        </w:rPr>
      </w:pPr>
      <w:r>
        <w:rPr>
          <w:rFonts w:hint="eastAsia" w:hAnsi="宋体" w:cs="宋体"/>
          <w:color w:val="auto"/>
          <w:kern w:val="0"/>
          <w:szCs w:val="24"/>
          <w:highlight w:val="none"/>
        </w:rPr>
        <w:t>2、</w:t>
      </w:r>
      <w:r>
        <w:rPr>
          <w:rFonts w:hint="eastAsia" w:hAnsi="宋体" w:cs="宋体"/>
          <w:color w:val="auto"/>
          <w:szCs w:val="24"/>
          <w:highlight w:val="none"/>
        </w:rPr>
        <w:t>响应供应商应对所投项目的全部内容进行报价，只投其中部分内容者，其响应文件将被拒绝。</w:t>
      </w:r>
    </w:p>
    <w:p w14:paraId="7D31D240">
      <w:pPr>
        <w:adjustRightInd w:val="0"/>
        <w:snapToGrid w:val="0"/>
        <w:spacing w:line="440" w:lineRule="exact"/>
        <w:ind w:firstLine="480"/>
        <w:jc w:val="left"/>
        <w:rPr>
          <w:rFonts w:hint="eastAsia" w:ascii="宋体" w:hAnsi="宋体" w:cs="宋体"/>
          <w:b/>
          <w:bCs/>
          <w:color w:val="auto"/>
          <w:szCs w:val="24"/>
          <w:highlight w:val="none"/>
        </w:rPr>
      </w:pPr>
      <w:r>
        <w:rPr>
          <w:rFonts w:hint="eastAsia" w:ascii="宋体" w:hAnsi="宋体" w:cs="宋体"/>
          <w:color w:val="auto"/>
          <w:kern w:val="0"/>
          <w:szCs w:val="24"/>
          <w:highlight w:val="none"/>
        </w:rPr>
        <w:t>3、</w:t>
      </w:r>
      <w:r>
        <w:rPr>
          <w:rFonts w:hint="eastAsia" w:ascii="宋体" w:hAnsi="宋体" w:cs="宋体"/>
          <w:color w:val="auto"/>
          <w:szCs w:val="24"/>
          <w:highlight w:val="none"/>
        </w:rPr>
        <w:t>响应单位</w:t>
      </w:r>
      <w:r>
        <w:rPr>
          <w:rFonts w:hint="eastAsia" w:ascii="宋体" w:hAnsi="宋体" w:cs="宋体"/>
          <w:color w:val="auto"/>
          <w:kern w:val="0"/>
          <w:szCs w:val="24"/>
          <w:highlight w:val="none"/>
        </w:rPr>
        <w:t>须保证所提供的响应文件真实有效，如因</w:t>
      </w:r>
      <w:r>
        <w:rPr>
          <w:rFonts w:hint="eastAsia" w:ascii="宋体" w:hAnsi="宋体" w:cs="宋体"/>
          <w:color w:val="auto"/>
          <w:szCs w:val="24"/>
          <w:highlight w:val="none"/>
        </w:rPr>
        <w:t>响应单位</w:t>
      </w:r>
      <w:r>
        <w:rPr>
          <w:rFonts w:hint="eastAsia" w:ascii="宋体" w:hAnsi="宋体" w:cs="宋体"/>
          <w:color w:val="auto"/>
          <w:kern w:val="0"/>
          <w:szCs w:val="24"/>
          <w:highlight w:val="none"/>
        </w:rPr>
        <w:t>的响应文件不实而造成的后果由</w:t>
      </w:r>
      <w:r>
        <w:rPr>
          <w:rFonts w:hint="eastAsia" w:ascii="宋体" w:hAnsi="宋体" w:cs="宋体"/>
          <w:color w:val="auto"/>
          <w:szCs w:val="24"/>
          <w:highlight w:val="none"/>
        </w:rPr>
        <w:t>响应单位</w:t>
      </w:r>
      <w:r>
        <w:rPr>
          <w:rFonts w:hint="eastAsia" w:ascii="宋体" w:hAnsi="宋体" w:cs="宋体"/>
          <w:color w:val="auto"/>
          <w:kern w:val="0"/>
          <w:szCs w:val="24"/>
          <w:highlight w:val="none"/>
        </w:rPr>
        <w:t>自行承担。有虚假应标行为经查实的响应文件，评审小组有权予以其废标。</w:t>
      </w:r>
    </w:p>
    <w:p w14:paraId="42093918">
      <w:pPr>
        <w:adjustRightInd w:val="0"/>
        <w:snapToGrid w:val="0"/>
        <w:spacing w:line="440" w:lineRule="exact"/>
        <w:ind w:firstLine="480"/>
        <w:jc w:val="left"/>
        <w:rPr>
          <w:rFonts w:hint="eastAsia" w:ascii="宋体" w:hAnsi="宋体" w:cs="宋体"/>
          <w:color w:val="auto"/>
          <w:szCs w:val="24"/>
          <w:highlight w:val="none"/>
        </w:rPr>
      </w:pPr>
      <w:r>
        <w:rPr>
          <w:rFonts w:hint="eastAsia" w:ascii="宋体" w:hAnsi="宋体" w:cs="宋体"/>
          <w:color w:val="auto"/>
          <w:szCs w:val="24"/>
          <w:highlight w:val="none"/>
        </w:rPr>
        <w:t>4、评审小组在审查时，可以要求供应商对响应文件某些报价明显不合理或者低于成本，有可能影响服务质量或不能诚信履约等内容作出必要的澄清、说明或者更正或者提供相关产品的证明，若供应商无法澄清、说明或提供相关证明材料的，评审小组可认定其无效响应。</w:t>
      </w:r>
    </w:p>
    <w:p w14:paraId="1830DC7C">
      <w:pPr>
        <w:pStyle w:val="11"/>
        <w:ind w:firstLine="480"/>
        <w:rPr>
          <w:rFonts w:hint="eastAsia" w:ascii="宋体" w:hAnsi="宋体" w:cs="宋体"/>
          <w:color w:val="auto"/>
          <w:szCs w:val="24"/>
          <w:highlight w:val="none"/>
        </w:rPr>
      </w:pPr>
    </w:p>
    <w:p w14:paraId="4A0DB6A9">
      <w:pPr>
        <w:spacing w:line="440" w:lineRule="exact"/>
        <w:ind w:firstLine="482"/>
        <w:rPr>
          <w:rFonts w:hint="eastAsia" w:ascii="宋体" w:hAnsi="宋体" w:cs="宋体"/>
          <w:b/>
          <w:bCs/>
          <w:color w:val="auto"/>
          <w:szCs w:val="24"/>
          <w:highlight w:val="none"/>
        </w:rPr>
      </w:pPr>
    </w:p>
    <w:p w14:paraId="74E61AF6">
      <w:pPr>
        <w:rPr>
          <w:rFonts w:hint="eastAsia" w:ascii="宋体" w:hAnsi="宋体" w:cs="宋体"/>
          <w:b/>
          <w:bCs/>
          <w:color w:val="auto"/>
          <w:szCs w:val="24"/>
          <w:highlight w:val="none"/>
        </w:rPr>
      </w:pPr>
      <w:r>
        <w:rPr>
          <w:rFonts w:hint="eastAsia" w:ascii="宋体" w:hAnsi="宋体" w:cs="宋体"/>
          <w:b/>
          <w:bCs/>
          <w:color w:val="auto"/>
          <w:szCs w:val="24"/>
          <w:highlight w:val="none"/>
        </w:rPr>
        <w:br w:type="page"/>
      </w:r>
    </w:p>
    <w:p w14:paraId="2A2EECD3">
      <w:pPr>
        <w:spacing w:line="240" w:lineRule="auto"/>
        <w:ind w:firstLine="0" w:firstLineChars="0"/>
        <w:rPr>
          <w:rFonts w:hint="eastAsia" w:ascii="宋体" w:hAnsi="宋体" w:cs="宋体"/>
          <w:b/>
          <w:bCs/>
          <w:color w:val="auto"/>
          <w:szCs w:val="24"/>
          <w:highlight w:val="none"/>
        </w:rPr>
      </w:pPr>
      <w:r>
        <w:rPr>
          <w:rFonts w:hint="eastAsia" w:ascii="宋体" w:hAnsi="宋体" w:cs="宋体"/>
          <w:b/>
          <w:bCs/>
          <w:color w:val="auto"/>
          <w:szCs w:val="24"/>
          <w:highlight w:val="none"/>
        </w:rPr>
        <w:t>附件：服务类项目履约验收方案</w:t>
      </w:r>
    </w:p>
    <w:p w14:paraId="12474343">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一、项目概况</w:t>
      </w:r>
    </w:p>
    <w:p w14:paraId="54388FBE">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项目编号：</w:t>
      </w:r>
    </w:p>
    <w:p w14:paraId="445669AB">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项目名称：</w:t>
      </w:r>
    </w:p>
    <w:p w14:paraId="2BA7830E">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供应商名称： </w:t>
      </w:r>
    </w:p>
    <w:p w14:paraId="43895DC4">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合同金额：</w:t>
      </w:r>
      <w:r>
        <w:rPr>
          <w:rFonts w:hAnsi="宋体" w:eastAsia="宋体" w:cs="宋体"/>
          <w:color w:val="auto"/>
          <w:sz w:val="24"/>
          <w:szCs w:val="24"/>
          <w:highlight w:val="none"/>
        </w:rPr>
        <w:t xml:space="preserve"> </w:t>
      </w:r>
    </w:p>
    <w:p w14:paraId="1EFB2A49">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验收主体：</w:t>
      </w:r>
    </w:p>
    <w:p w14:paraId="26681FC1">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二、验收目的</w:t>
      </w:r>
    </w:p>
    <w:p w14:paraId="2154D702">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5E3BC3CD">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三、验收依据</w:t>
      </w:r>
    </w:p>
    <w:p w14:paraId="531FB08F">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9E63051">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四、验收责任主体</w:t>
      </w:r>
    </w:p>
    <w:p w14:paraId="5B06B139">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326EAA55">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五、验收方式(形式)</w:t>
      </w:r>
    </w:p>
    <w:p w14:paraId="7D70551C">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5.1日常考核、分段验收</w:t>
      </w:r>
    </w:p>
    <w:p w14:paraId="645D7EB9">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对于一次性整体验收不能反映履约情况的服务类项目，需要在服务期内对供应商服务实施情况进行日常考核、分段验收，应科学确定检查周期或分段节点，指派具体考核人员，分别实施验收。</w:t>
      </w:r>
    </w:p>
    <w:p w14:paraId="35BD27B5">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b/>
          <w:bCs/>
          <w:color w:val="auto"/>
          <w:sz w:val="24"/>
          <w:szCs w:val="24"/>
          <w:highlight w:val="none"/>
        </w:rPr>
        <w:t>5.2最终验收</w:t>
      </w:r>
    </w:p>
    <w:p w14:paraId="51B75BF3">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六、验收内容：</w:t>
      </w:r>
    </w:p>
    <w:p w14:paraId="1C103F93">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56C5916C">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七、验收程序：</w:t>
      </w:r>
    </w:p>
    <w:p w14:paraId="17F1C844">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7.1验收准备</w:t>
      </w:r>
    </w:p>
    <w:p w14:paraId="30BACAA6">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color w:val="auto"/>
          <w:sz w:val="24"/>
          <w:szCs w:val="24"/>
          <w:highlight w:val="none"/>
        </w:rPr>
        <w:t>供应商在收到催告后五个工作日内拒不配合的，采购人应依照合同约定追究其责任。</w:t>
      </w:r>
    </w:p>
    <w:p w14:paraId="21A535B7">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7.1.2供应商应当配合采购人、采购代理机构做好项目验收工作，及时提供与项目验收相关的生产、技术、服务、数量、质量、安全、合格证明及验收所必须具备的其他材料。</w:t>
      </w:r>
    </w:p>
    <w:p w14:paraId="20F47326">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7.1.3采购人应及时全面准备验收，自收到验收</w:t>
      </w:r>
      <w:r>
        <w:rPr>
          <w:rFonts w:hint="eastAsia" w:hAnsi="宋体" w:eastAsia="宋体" w:cs="宋体"/>
          <w:b/>
          <w:bCs/>
          <w:color w:val="auto"/>
          <w:sz w:val="24"/>
          <w:szCs w:val="24"/>
          <w:highlight w:val="none"/>
        </w:rPr>
        <w:t>申请之日起五个工作日内</w:t>
      </w:r>
      <w:r>
        <w:rPr>
          <w:rFonts w:hint="eastAsia" w:hAnsi="宋体" w:eastAsia="宋体" w:cs="宋体"/>
          <w:color w:val="auto"/>
          <w:sz w:val="24"/>
          <w:szCs w:val="24"/>
          <w:highlight w:val="none"/>
        </w:rPr>
        <w:t>做好通水、通电、准备验收工具等必要的验收准备工作、启动项目验收、通知供应商。</w:t>
      </w:r>
    </w:p>
    <w:p w14:paraId="3ECBE209">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7.2验收小组</w:t>
      </w:r>
    </w:p>
    <w:p w14:paraId="70C51077">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691D0DBE">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166BC904">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7.3参与验收人员</w:t>
      </w:r>
    </w:p>
    <w:p w14:paraId="1798C1B7">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7.3.1技术复杂或专业性强的政府采购项目，可以邀请有资质的第三方专业机构参加验收并出具专业意见。</w:t>
      </w:r>
    </w:p>
    <w:p w14:paraId="4120A497">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7.3.2对于采购人和使用人分离的采购项目，采购人或其委托的采购代理机构应当邀请实际使用人参与验收</w:t>
      </w:r>
    </w:p>
    <w:p w14:paraId="51A41850">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7.3.3政府向社会公众提供的公共服务项目，验收时应当邀请服务对象进行公共服务项目满意度评价，评价结果作为履约验收的参考依据。</w:t>
      </w:r>
    </w:p>
    <w:p w14:paraId="4506F58A">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7.4验收原则</w:t>
      </w:r>
    </w:p>
    <w:p w14:paraId="096BDC55">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政府采购履约验收应当遵循全面完整、客观真实、诚实信用的原则，坚持公开透明、应验必验、验收必严、违约必究。</w:t>
      </w:r>
    </w:p>
    <w:p w14:paraId="7BE24A0B">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3654B2E7">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7.4.2项目验收范围应当完整，与采购合同一致，不得省略、遗漏和缺失，也不得擅自扩大范围。</w:t>
      </w:r>
    </w:p>
    <w:p w14:paraId="58D3F317">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7.4.3项目验收方式应当符合项目特点，不能明确客观标准、涉及主观判断的，可以通过在采购人、使用人中开展问卷调查等方式予以客观、量化。</w:t>
      </w:r>
    </w:p>
    <w:p w14:paraId="032BDB4A">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7.4.4项目验收标准应包括所有客观、量化指标，符合采购合同约定，未进行相应约定的，应当符合法律法规、政策要求、国家标准、行业标准，地方标准或企业标准等有关标准。</w:t>
      </w:r>
    </w:p>
    <w:p w14:paraId="692A0435">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7.4.5项目验收意见应当客观真实。验收小组成员意见不一致时，按照少数服从多数的原则作出验收意见。</w:t>
      </w:r>
    </w:p>
    <w:p w14:paraId="23648FF0">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7.4.6验收方法主要包括全部查验核对和抽查核对。</w:t>
      </w:r>
    </w:p>
    <w:p w14:paraId="598A4FFC">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7.5验收记录</w:t>
      </w:r>
    </w:p>
    <w:p w14:paraId="385F7961">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7.5.1验收小组应当要求参与验收的供应商、专业机构、专家和服务对象等出具书面意见，作为验收书的重要组成部分。</w:t>
      </w:r>
    </w:p>
    <w:p w14:paraId="4BD45C2F">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6E346C65">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0ECDDCE4">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八、验收结果</w:t>
      </w:r>
    </w:p>
    <w:p w14:paraId="048AD9B8">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686903F9">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1E9079B4">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779CB860">
      <w:pPr>
        <w:pStyle w:val="50"/>
        <w:spacing w:line="440" w:lineRule="exact"/>
        <w:ind w:firstLine="0" w:firstLineChars="0"/>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九、验收资料归档</w:t>
      </w:r>
    </w:p>
    <w:p w14:paraId="2AD86EE6">
      <w:pPr>
        <w:pStyle w:val="50"/>
        <w:spacing w:line="440" w:lineRule="exact"/>
        <w:ind w:firstLine="0" w:firstLineChars="0"/>
        <w:rPr>
          <w:rFonts w:hint="eastAsia" w:hAnsi="宋体" w:eastAsia="宋体" w:cs="宋体"/>
          <w:color w:val="auto"/>
          <w:sz w:val="24"/>
          <w:szCs w:val="24"/>
          <w:highlight w:val="none"/>
        </w:rPr>
      </w:pPr>
      <w:r>
        <w:rPr>
          <w:rFonts w:hint="eastAsia" w:hAnsi="宋体" w:eastAsia="宋体" w:cs="宋体"/>
          <w:color w:val="auto"/>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2FB3D71E">
      <w:pPr>
        <w:pBdr>
          <w:top w:val="none" w:color="auto" w:sz="0" w:space="0"/>
          <w:left w:val="none" w:color="auto" w:sz="0" w:space="0"/>
          <w:bottom w:val="none" w:color="auto" w:sz="0" w:space="0"/>
          <w:right w:val="none" w:color="auto" w:sz="0" w:space="0"/>
        </w:pBdr>
        <w:spacing w:before="0" w:after="0" w:line="240" w:lineRule="auto"/>
        <w:ind w:firstLine="0"/>
        <w:jc w:val="left"/>
        <w:rPr>
          <w:rFonts w:hint="eastAsia" w:ascii="宋体" w:hAnsi="宋体" w:cs="宋体"/>
          <w:b/>
          <w:bCs/>
          <w:color w:val="auto"/>
          <w:spacing w:val="9"/>
          <w:sz w:val="44"/>
          <w:szCs w:val="44"/>
          <w:highlight w:val="none"/>
        </w:rPr>
      </w:pPr>
      <w:r>
        <w:rPr>
          <w:rFonts w:hint="eastAsia" w:ascii="宋体" w:hAnsi="宋体" w:cs="宋体"/>
          <w:b/>
          <w:bCs/>
          <w:color w:val="auto"/>
          <w:spacing w:val="9"/>
          <w:sz w:val="44"/>
          <w:szCs w:val="44"/>
          <w:highlight w:val="none"/>
        </w:rPr>
        <w:br w:type="page"/>
      </w:r>
    </w:p>
    <w:p w14:paraId="26B5187A">
      <w:pPr>
        <w:pBdr>
          <w:top w:val="none" w:color="000000" w:sz="0" w:space="0"/>
          <w:left w:val="none" w:color="000000" w:sz="0" w:space="0"/>
          <w:bottom w:val="none" w:color="000000" w:sz="0" w:space="0"/>
          <w:right w:val="none" w:color="000000" w:sz="0" w:space="0"/>
        </w:pBdr>
        <w:spacing w:before="240" w:after="240" w:line="440" w:lineRule="exact"/>
        <w:ind w:firstLine="919"/>
        <w:jc w:val="center"/>
        <w:rPr>
          <w:rFonts w:hint="eastAsia" w:ascii="宋体" w:hAnsi="宋体" w:cs="宋体"/>
          <w:b/>
          <w:bCs/>
          <w:color w:val="auto"/>
          <w:sz w:val="44"/>
          <w:szCs w:val="44"/>
          <w:highlight w:val="none"/>
        </w:rPr>
      </w:pPr>
      <w:r>
        <w:rPr>
          <w:rFonts w:hint="eastAsia" w:ascii="宋体" w:hAnsi="宋体" w:cs="宋体"/>
          <w:b/>
          <w:bCs/>
          <w:color w:val="auto"/>
          <w:spacing w:val="9"/>
          <w:sz w:val="44"/>
          <w:szCs w:val="44"/>
          <w:highlight w:val="none"/>
        </w:rPr>
        <w:t>政府采购履约验收书(服务类）</w:t>
      </w:r>
    </w:p>
    <w:tbl>
      <w:tblPr>
        <w:tblStyle w:val="25"/>
        <w:tblW w:w="93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559"/>
        <w:gridCol w:w="1417"/>
        <w:gridCol w:w="142"/>
        <w:gridCol w:w="1134"/>
        <w:gridCol w:w="1134"/>
        <w:gridCol w:w="1400"/>
      </w:tblGrid>
      <w:tr w14:paraId="4F4EE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38EE9D4A">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7D695E7D">
            <w:pPr>
              <w:spacing w:line="360" w:lineRule="exact"/>
              <w:ind w:firstLine="360"/>
              <w:jc w:val="center"/>
              <w:rPr>
                <w:rFonts w:hint="eastAsia" w:ascii="宋体" w:hAnsi="宋体" w:cs="宋体"/>
                <w:color w:val="auto"/>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75AD95C7">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项目名称</w:t>
            </w:r>
          </w:p>
        </w:tc>
        <w:tc>
          <w:tcPr>
            <w:tcW w:w="1417" w:type="dxa"/>
            <w:tcBorders>
              <w:top w:val="single" w:color="000000" w:sz="2" w:space="0"/>
              <w:left w:val="single" w:color="000000" w:sz="2" w:space="0"/>
              <w:bottom w:val="single" w:color="000000" w:sz="2" w:space="0"/>
              <w:right w:val="single" w:color="000000" w:sz="2" w:space="0"/>
            </w:tcBorders>
            <w:vAlign w:val="center"/>
          </w:tcPr>
          <w:p w14:paraId="471C2DED">
            <w:pPr>
              <w:spacing w:line="360" w:lineRule="exact"/>
              <w:ind w:firstLine="360"/>
              <w:jc w:val="center"/>
              <w:rPr>
                <w:rFonts w:hint="eastAsia" w:ascii="宋体" w:hAnsi="宋体" w:cs="宋体"/>
                <w:color w:val="auto"/>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D8E395F">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合同名称</w:t>
            </w:r>
          </w:p>
        </w:tc>
        <w:tc>
          <w:tcPr>
            <w:tcW w:w="1400" w:type="dxa"/>
            <w:tcBorders>
              <w:top w:val="single" w:color="000000" w:sz="2" w:space="0"/>
              <w:left w:val="single" w:color="000000" w:sz="2" w:space="0"/>
              <w:bottom w:val="single" w:color="000000" w:sz="2" w:space="0"/>
              <w:right w:val="single" w:color="000000" w:sz="2" w:space="0"/>
            </w:tcBorders>
            <w:vAlign w:val="center"/>
          </w:tcPr>
          <w:p w14:paraId="4D4C89C9">
            <w:pPr>
              <w:spacing w:line="360" w:lineRule="exact"/>
              <w:ind w:firstLine="360"/>
              <w:jc w:val="center"/>
              <w:rPr>
                <w:rFonts w:hint="eastAsia" w:ascii="宋体" w:hAnsi="宋体" w:cs="宋体"/>
                <w:color w:val="auto"/>
                <w:sz w:val="18"/>
                <w:szCs w:val="18"/>
                <w:highlight w:val="none"/>
                <w:lang w:bidi="ar"/>
              </w:rPr>
            </w:pPr>
          </w:p>
        </w:tc>
      </w:tr>
      <w:tr w14:paraId="1AD1C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30807B42">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79C0DE3E">
            <w:pPr>
              <w:spacing w:line="360" w:lineRule="exact"/>
              <w:ind w:firstLine="360"/>
              <w:jc w:val="center"/>
              <w:rPr>
                <w:rFonts w:hint="eastAsia" w:ascii="宋体" w:hAnsi="宋体" w:cs="宋体"/>
                <w:color w:val="auto"/>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72C9E923">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项目及合同编号</w:t>
            </w:r>
          </w:p>
        </w:tc>
        <w:tc>
          <w:tcPr>
            <w:tcW w:w="1417" w:type="dxa"/>
            <w:tcBorders>
              <w:top w:val="single" w:color="000000" w:sz="2" w:space="0"/>
              <w:left w:val="single" w:color="000000" w:sz="2" w:space="0"/>
              <w:bottom w:val="single" w:color="000000" w:sz="2" w:space="0"/>
              <w:right w:val="single" w:color="000000" w:sz="2" w:space="0"/>
            </w:tcBorders>
            <w:vAlign w:val="center"/>
          </w:tcPr>
          <w:p w14:paraId="4C6DD5FF">
            <w:pPr>
              <w:spacing w:line="360" w:lineRule="exact"/>
              <w:ind w:firstLine="360"/>
              <w:jc w:val="center"/>
              <w:rPr>
                <w:rFonts w:hint="eastAsia" w:ascii="宋体" w:hAnsi="宋体" w:cs="宋体"/>
                <w:color w:val="auto"/>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CF2646E">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合同金额</w:t>
            </w:r>
          </w:p>
        </w:tc>
        <w:tc>
          <w:tcPr>
            <w:tcW w:w="1400" w:type="dxa"/>
            <w:tcBorders>
              <w:top w:val="single" w:color="000000" w:sz="2" w:space="0"/>
              <w:left w:val="single" w:color="000000" w:sz="2" w:space="0"/>
              <w:bottom w:val="single" w:color="000000" w:sz="2" w:space="0"/>
              <w:right w:val="single" w:color="000000" w:sz="2" w:space="0"/>
            </w:tcBorders>
            <w:vAlign w:val="center"/>
          </w:tcPr>
          <w:p w14:paraId="20A9AC20">
            <w:pPr>
              <w:spacing w:line="360" w:lineRule="exact"/>
              <w:ind w:firstLine="360"/>
              <w:jc w:val="center"/>
              <w:rPr>
                <w:rFonts w:hint="eastAsia" w:ascii="宋体" w:hAnsi="宋体" w:cs="宋体"/>
                <w:color w:val="auto"/>
                <w:sz w:val="18"/>
                <w:szCs w:val="18"/>
                <w:highlight w:val="none"/>
                <w:lang w:bidi="ar"/>
              </w:rPr>
            </w:pPr>
          </w:p>
        </w:tc>
      </w:tr>
      <w:tr w14:paraId="68A57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09A3F277">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112C1EDF">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是□   否□</w:t>
            </w:r>
          </w:p>
        </w:tc>
        <w:tc>
          <w:tcPr>
            <w:tcW w:w="1559" w:type="dxa"/>
            <w:tcBorders>
              <w:top w:val="single" w:color="000000" w:sz="2" w:space="0"/>
              <w:left w:val="single" w:color="000000" w:sz="2" w:space="0"/>
              <w:bottom w:val="single" w:color="000000" w:sz="2" w:space="0"/>
              <w:right w:val="single" w:color="000000" w:sz="2" w:space="0"/>
            </w:tcBorders>
            <w:vAlign w:val="center"/>
          </w:tcPr>
          <w:p w14:paraId="7FA55EFC">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分期（段）情况</w:t>
            </w:r>
          </w:p>
        </w:tc>
        <w:tc>
          <w:tcPr>
            <w:tcW w:w="5227" w:type="dxa"/>
            <w:gridSpan w:val="5"/>
            <w:tcBorders>
              <w:top w:val="single" w:color="000000" w:sz="2" w:space="0"/>
              <w:left w:val="single" w:color="000000" w:sz="2" w:space="0"/>
              <w:bottom w:val="single" w:color="000000" w:sz="2" w:space="0"/>
              <w:right w:val="single" w:color="000000" w:sz="2" w:space="0"/>
            </w:tcBorders>
            <w:vAlign w:val="center"/>
          </w:tcPr>
          <w:p w14:paraId="7404CA05">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共分   期（段），此为第   期（段）验收</w:t>
            </w:r>
          </w:p>
        </w:tc>
      </w:tr>
      <w:tr w14:paraId="38E68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4523B84F">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1E12475F">
            <w:pPr>
              <w:spacing w:line="360" w:lineRule="exact"/>
              <w:ind w:firstLine="360"/>
              <w:jc w:val="center"/>
              <w:rPr>
                <w:rFonts w:hint="eastAsia" w:ascii="宋体" w:hAnsi="宋体" w:cs="宋体"/>
                <w:color w:val="auto"/>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5D5BA9E3">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验收地点</w:t>
            </w:r>
          </w:p>
        </w:tc>
        <w:tc>
          <w:tcPr>
            <w:tcW w:w="1417" w:type="dxa"/>
            <w:tcBorders>
              <w:top w:val="single" w:color="000000" w:sz="2" w:space="0"/>
              <w:left w:val="single" w:color="000000" w:sz="2" w:space="0"/>
              <w:bottom w:val="single" w:color="000000" w:sz="2" w:space="0"/>
              <w:right w:val="single" w:color="000000" w:sz="2" w:space="0"/>
            </w:tcBorders>
            <w:vAlign w:val="center"/>
          </w:tcPr>
          <w:p w14:paraId="5D215716">
            <w:pPr>
              <w:spacing w:line="360" w:lineRule="exact"/>
              <w:ind w:firstLine="360"/>
              <w:jc w:val="center"/>
              <w:rPr>
                <w:rFonts w:hint="eastAsia" w:ascii="宋体" w:hAnsi="宋体" w:cs="宋体"/>
                <w:color w:val="auto"/>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B96F1A8">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验收组织形式</w:t>
            </w:r>
          </w:p>
        </w:tc>
        <w:tc>
          <w:tcPr>
            <w:tcW w:w="1400" w:type="dxa"/>
            <w:tcBorders>
              <w:top w:val="single" w:color="000000" w:sz="2" w:space="0"/>
              <w:left w:val="single" w:color="000000" w:sz="2" w:space="0"/>
              <w:bottom w:val="single" w:color="000000" w:sz="2" w:space="0"/>
              <w:right w:val="single" w:color="000000" w:sz="2" w:space="0"/>
            </w:tcBorders>
            <w:vAlign w:val="center"/>
          </w:tcPr>
          <w:p w14:paraId="712B3732">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□自行简易验收</w:t>
            </w:r>
          </w:p>
          <w:p w14:paraId="33CCE76C">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□验收小组验收</w:t>
            </w:r>
          </w:p>
          <w:p w14:paraId="0B0A9BC4">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□采购代理机构验收</w:t>
            </w:r>
          </w:p>
        </w:tc>
      </w:tr>
      <w:tr w14:paraId="72E7C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76" w:type="dxa"/>
            <w:vMerge w:val="restart"/>
            <w:tcBorders>
              <w:top w:val="nil"/>
              <w:left w:val="single" w:color="000000" w:sz="2" w:space="0"/>
              <w:bottom w:val="nil"/>
              <w:right w:val="single" w:color="000000" w:sz="2" w:space="0"/>
            </w:tcBorders>
            <w:vAlign w:val="center"/>
          </w:tcPr>
          <w:p w14:paraId="05EC80FF">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0BDCD003">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服务质量</w:t>
            </w:r>
          </w:p>
        </w:tc>
        <w:tc>
          <w:tcPr>
            <w:tcW w:w="1559" w:type="dxa"/>
            <w:tcBorders>
              <w:top w:val="single" w:color="000000" w:sz="2" w:space="0"/>
              <w:left w:val="single" w:color="000000" w:sz="2" w:space="0"/>
              <w:bottom w:val="single" w:color="000000" w:sz="2" w:space="0"/>
              <w:right w:val="single" w:color="000000" w:sz="2" w:space="0"/>
            </w:tcBorders>
            <w:vAlign w:val="center"/>
          </w:tcPr>
          <w:p w14:paraId="47D3ED6C">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服务进度</w:t>
            </w:r>
          </w:p>
        </w:tc>
        <w:tc>
          <w:tcPr>
            <w:tcW w:w="1417" w:type="dxa"/>
            <w:tcBorders>
              <w:top w:val="single" w:color="000000" w:sz="2" w:space="0"/>
              <w:left w:val="single" w:color="000000" w:sz="2" w:space="0"/>
              <w:bottom w:val="single" w:color="000000" w:sz="2" w:space="0"/>
              <w:right w:val="single" w:color="000000" w:sz="2" w:space="0"/>
            </w:tcBorders>
            <w:vAlign w:val="center"/>
          </w:tcPr>
          <w:p w14:paraId="5D67727F">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31434794">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0A093B07">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项目需求、服务承诺</w:t>
            </w:r>
          </w:p>
        </w:tc>
        <w:tc>
          <w:tcPr>
            <w:tcW w:w="1400" w:type="dxa"/>
            <w:tcBorders>
              <w:top w:val="single" w:color="000000" w:sz="2" w:space="0"/>
              <w:left w:val="single" w:color="000000" w:sz="2" w:space="0"/>
              <w:bottom w:val="single" w:color="000000" w:sz="2" w:space="0"/>
              <w:right w:val="single" w:color="000000" w:sz="2" w:space="0"/>
            </w:tcBorders>
            <w:vAlign w:val="center"/>
          </w:tcPr>
          <w:p w14:paraId="5DADF173">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合同履约时间、 地点、方式</w:t>
            </w:r>
          </w:p>
        </w:tc>
      </w:tr>
      <w:tr w14:paraId="7B553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76" w:type="dxa"/>
            <w:vMerge w:val="continue"/>
            <w:tcBorders>
              <w:top w:val="nil"/>
              <w:left w:val="single" w:color="000000" w:sz="2" w:space="0"/>
              <w:bottom w:val="nil"/>
              <w:right w:val="single" w:color="000000" w:sz="2" w:space="0"/>
            </w:tcBorders>
            <w:vAlign w:val="center"/>
          </w:tcPr>
          <w:p w14:paraId="4F28E16F">
            <w:pPr>
              <w:spacing w:line="360" w:lineRule="exact"/>
              <w:ind w:firstLine="360"/>
              <w:jc w:val="center"/>
              <w:rPr>
                <w:rFonts w:hint="eastAsia" w:ascii="宋体" w:hAnsi="宋体" w:cs="宋体"/>
                <w:color w:val="auto"/>
                <w:sz w:val="18"/>
                <w:szCs w:val="18"/>
                <w:highlight w:val="none"/>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0C8A47BA">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76A53241">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559" w:type="dxa"/>
            <w:tcBorders>
              <w:top w:val="single" w:color="000000" w:sz="2" w:space="0"/>
              <w:left w:val="single" w:color="000000" w:sz="2" w:space="0"/>
              <w:bottom w:val="single" w:color="000000" w:sz="2" w:space="0"/>
              <w:right w:val="single" w:color="000000" w:sz="2" w:space="0"/>
            </w:tcBorders>
            <w:vAlign w:val="center"/>
          </w:tcPr>
          <w:p w14:paraId="2C77CCCA">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按  时□ </w:t>
            </w:r>
          </w:p>
          <w:p w14:paraId="15806B48">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不按时□</w:t>
            </w:r>
          </w:p>
        </w:tc>
        <w:tc>
          <w:tcPr>
            <w:tcW w:w="1417" w:type="dxa"/>
            <w:tcBorders>
              <w:top w:val="single" w:color="000000" w:sz="2" w:space="0"/>
              <w:left w:val="single" w:color="000000" w:sz="2" w:space="0"/>
              <w:bottom w:val="single" w:color="000000" w:sz="2" w:space="0"/>
              <w:right w:val="single" w:color="000000" w:sz="2" w:space="0"/>
            </w:tcBorders>
            <w:vAlign w:val="center"/>
          </w:tcPr>
          <w:p w14:paraId="20621D26">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56A07F2B">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5052AF76">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3EE0D68C">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57793009">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378F52F5">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400" w:type="dxa"/>
            <w:tcBorders>
              <w:top w:val="single" w:color="000000" w:sz="2" w:space="0"/>
              <w:left w:val="single" w:color="000000" w:sz="2" w:space="0"/>
              <w:bottom w:val="single" w:color="000000" w:sz="2" w:space="0"/>
              <w:right w:val="single" w:color="000000" w:sz="2" w:space="0"/>
            </w:tcBorders>
            <w:vAlign w:val="center"/>
          </w:tcPr>
          <w:p w14:paraId="1A433238">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0C8B21F9">
            <w:pPr>
              <w:spacing w:line="3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r>
      <w:tr w14:paraId="4AA16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0624A7C1">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专业检测机构情况说明</w:t>
            </w:r>
          </w:p>
        </w:tc>
        <w:tc>
          <w:tcPr>
            <w:tcW w:w="8062" w:type="dxa"/>
            <w:gridSpan w:val="7"/>
            <w:tcBorders>
              <w:top w:val="single" w:color="000000" w:sz="2" w:space="0"/>
              <w:left w:val="single" w:color="000000" w:sz="2" w:space="0"/>
              <w:bottom w:val="single" w:color="000000" w:sz="2" w:space="0"/>
              <w:right w:val="single" w:color="000000" w:sz="2" w:space="0"/>
            </w:tcBorders>
            <w:vAlign w:val="center"/>
          </w:tcPr>
          <w:p w14:paraId="5B9C276C">
            <w:pPr>
              <w:spacing w:line="360" w:lineRule="exact"/>
              <w:ind w:firstLine="360"/>
              <w:jc w:val="center"/>
              <w:rPr>
                <w:rFonts w:hint="eastAsia" w:ascii="宋体" w:hAnsi="宋体" w:cs="宋体"/>
                <w:color w:val="auto"/>
                <w:sz w:val="18"/>
                <w:szCs w:val="18"/>
                <w:highlight w:val="none"/>
                <w:lang w:bidi="ar"/>
              </w:rPr>
            </w:pPr>
          </w:p>
        </w:tc>
      </w:tr>
      <w:tr w14:paraId="68636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2B6C0A79">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存在问题</w:t>
            </w:r>
          </w:p>
          <w:p w14:paraId="7AE89610">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和改进意见</w:t>
            </w:r>
          </w:p>
        </w:tc>
        <w:tc>
          <w:tcPr>
            <w:tcW w:w="8062" w:type="dxa"/>
            <w:gridSpan w:val="7"/>
            <w:tcBorders>
              <w:top w:val="single" w:color="000000" w:sz="2" w:space="0"/>
              <w:left w:val="single" w:color="000000" w:sz="2" w:space="0"/>
              <w:bottom w:val="single" w:color="000000" w:sz="2" w:space="0"/>
              <w:right w:val="single" w:color="000000" w:sz="2" w:space="0"/>
            </w:tcBorders>
            <w:vAlign w:val="center"/>
          </w:tcPr>
          <w:p w14:paraId="508B3639">
            <w:pPr>
              <w:spacing w:line="360" w:lineRule="exact"/>
              <w:ind w:firstLine="360"/>
              <w:jc w:val="center"/>
              <w:rPr>
                <w:rFonts w:hint="eastAsia" w:ascii="宋体" w:hAnsi="宋体" w:cs="宋体"/>
                <w:color w:val="auto"/>
                <w:sz w:val="18"/>
                <w:szCs w:val="18"/>
                <w:highlight w:val="none"/>
                <w:lang w:bidi="ar"/>
              </w:rPr>
            </w:pPr>
          </w:p>
        </w:tc>
      </w:tr>
      <w:tr w14:paraId="42EB5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5E94065">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最终结论</w:t>
            </w:r>
          </w:p>
        </w:tc>
        <w:tc>
          <w:tcPr>
            <w:tcW w:w="8062" w:type="dxa"/>
            <w:gridSpan w:val="7"/>
            <w:tcBorders>
              <w:top w:val="single" w:color="000000" w:sz="2" w:space="0"/>
              <w:left w:val="single" w:color="000000" w:sz="2" w:space="0"/>
              <w:bottom w:val="single" w:color="000000" w:sz="2" w:space="0"/>
              <w:right w:val="single" w:color="000000" w:sz="2" w:space="0"/>
            </w:tcBorders>
            <w:vAlign w:val="center"/>
          </w:tcPr>
          <w:p w14:paraId="2C439A95">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合  格□                              不合格□</w:t>
            </w:r>
          </w:p>
        </w:tc>
      </w:tr>
      <w:tr w14:paraId="6C53B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11367D46">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验收小组成员</w:t>
            </w:r>
          </w:p>
          <w:p w14:paraId="1736DFD8">
            <w:pPr>
              <w:spacing w:line="3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签字</w:t>
            </w:r>
          </w:p>
        </w:tc>
        <w:tc>
          <w:tcPr>
            <w:tcW w:w="8062" w:type="dxa"/>
            <w:gridSpan w:val="7"/>
            <w:tcBorders>
              <w:top w:val="single" w:color="000000" w:sz="2" w:space="0"/>
              <w:left w:val="single" w:color="000000" w:sz="2" w:space="0"/>
              <w:bottom w:val="single" w:color="000000" w:sz="2" w:space="0"/>
              <w:right w:val="single" w:color="000000" w:sz="2" w:space="0"/>
            </w:tcBorders>
            <w:vAlign w:val="center"/>
          </w:tcPr>
          <w:p w14:paraId="624C71D2">
            <w:pPr>
              <w:spacing w:line="360" w:lineRule="exact"/>
              <w:ind w:firstLine="360"/>
              <w:jc w:val="center"/>
              <w:rPr>
                <w:rFonts w:hint="eastAsia" w:ascii="宋体" w:hAnsi="宋体" w:cs="宋体"/>
                <w:color w:val="auto"/>
                <w:sz w:val="18"/>
                <w:szCs w:val="18"/>
                <w:highlight w:val="none"/>
                <w:lang w:bidi="ar"/>
              </w:rPr>
            </w:pPr>
          </w:p>
        </w:tc>
      </w:tr>
      <w:tr w14:paraId="60B35C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25565116">
            <w:pPr>
              <w:spacing w:line="560" w:lineRule="exact"/>
              <w:ind w:firstLine="360"/>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采购代理机构意见</w:t>
            </w:r>
          </w:p>
        </w:tc>
        <w:tc>
          <w:tcPr>
            <w:tcW w:w="3668" w:type="dxa"/>
            <w:gridSpan w:val="3"/>
            <w:tcBorders>
              <w:top w:val="single" w:color="000000" w:sz="2" w:space="0"/>
              <w:left w:val="single" w:color="000000" w:sz="2" w:space="0"/>
              <w:bottom w:val="single" w:color="000000" w:sz="2" w:space="0"/>
              <w:right w:val="single" w:color="000000" w:sz="2" w:space="0"/>
            </w:tcBorders>
            <w:vAlign w:val="center"/>
          </w:tcPr>
          <w:p w14:paraId="03A1ACAD">
            <w:pPr>
              <w:spacing w:line="560" w:lineRule="exact"/>
              <w:ind w:firstLine="360"/>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采购人意见</w:t>
            </w:r>
          </w:p>
        </w:tc>
      </w:tr>
      <w:tr w14:paraId="17EFB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670" w:type="dxa"/>
            <w:gridSpan w:val="5"/>
            <w:tcBorders>
              <w:top w:val="single" w:color="000000" w:sz="2" w:space="0"/>
              <w:left w:val="single" w:color="000000" w:sz="2" w:space="0"/>
              <w:bottom w:val="single" w:color="000000" w:sz="2" w:space="0"/>
              <w:right w:val="single" w:color="000000" w:sz="2" w:space="0"/>
            </w:tcBorders>
          </w:tcPr>
          <w:p w14:paraId="6628BDE8">
            <w:pPr>
              <w:spacing w:line="380" w:lineRule="exact"/>
              <w:ind w:firstLine="360"/>
              <w:jc w:val="left"/>
              <w:rPr>
                <w:rFonts w:hint="eastAsia" w:ascii="宋体" w:hAnsi="宋体" w:cs="宋体"/>
                <w:color w:val="auto"/>
                <w:sz w:val="18"/>
                <w:szCs w:val="18"/>
                <w:highlight w:val="none"/>
                <w:lang w:bidi="ar"/>
              </w:rPr>
            </w:pPr>
          </w:p>
          <w:p w14:paraId="080409FB">
            <w:pPr>
              <w:spacing w:line="380" w:lineRule="exact"/>
              <w:ind w:firstLine="360"/>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经办人：         负责人：     （采购代理机构公章）</w:t>
            </w:r>
          </w:p>
        </w:tc>
        <w:tc>
          <w:tcPr>
            <w:tcW w:w="3668" w:type="dxa"/>
            <w:gridSpan w:val="3"/>
            <w:tcBorders>
              <w:top w:val="single" w:color="000000" w:sz="2" w:space="0"/>
              <w:left w:val="single" w:color="000000" w:sz="2" w:space="0"/>
              <w:bottom w:val="single" w:color="000000" w:sz="2" w:space="0"/>
              <w:right w:val="single" w:color="000000" w:sz="2" w:space="0"/>
            </w:tcBorders>
          </w:tcPr>
          <w:p w14:paraId="152B8C38">
            <w:pPr>
              <w:spacing w:line="380" w:lineRule="exact"/>
              <w:ind w:firstLine="360"/>
              <w:jc w:val="left"/>
              <w:rPr>
                <w:rFonts w:hint="eastAsia" w:ascii="宋体" w:hAnsi="宋体" w:cs="宋体"/>
                <w:color w:val="auto"/>
                <w:sz w:val="18"/>
                <w:szCs w:val="18"/>
                <w:highlight w:val="none"/>
                <w:lang w:bidi="ar"/>
              </w:rPr>
            </w:pPr>
          </w:p>
          <w:p w14:paraId="28BD45FD">
            <w:pPr>
              <w:spacing w:line="380" w:lineRule="exact"/>
              <w:ind w:firstLine="360"/>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经办人：         负责人：               （采购人公章）</w:t>
            </w:r>
          </w:p>
        </w:tc>
      </w:tr>
      <w:tr w14:paraId="5FD6E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338" w:type="dxa"/>
            <w:gridSpan w:val="8"/>
            <w:tcBorders>
              <w:top w:val="single" w:color="000000" w:sz="2" w:space="0"/>
              <w:left w:val="single" w:color="000000" w:sz="2" w:space="0"/>
              <w:bottom w:val="single" w:color="000000" w:sz="2" w:space="0"/>
              <w:right w:val="single" w:color="000000" w:sz="2" w:space="0"/>
            </w:tcBorders>
          </w:tcPr>
          <w:p w14:paraId="1D57C96D">
            <w:pPr>
              <w:spacing w:line="380" w:lineRule="exact"/>
              <w:ind w:firstLine="360"/>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供应商确认：</w:t>
            </w:r>
          </w:p>
          <w:p w14:paraId="2F49416D">
            <w:pPr>
              <w:spacing w:line="380" w:lineRule="exact"/>
              <w:ind w:firstLine="360"/>
              <w:jc w:val="left"/>
              <w:rPr>
                <w:rFonts w:hint="eastAsia" w:ascii="宋体" w:hAnsi="宋体" w:cs="宋体"/>
                <w:color w:val="auto"/>
                <w:sz w:val="18"/>
                <w:szCs w:val="18"/>
                <w:highlight w:val="none"/>
                <w:lang w:bidi="ar"/>
              </w:rPr>
            </w:pPr>
          </w:p>
          <w:p w14:paraId="34214C6C">
            <w:pPr>
              <w:spacing w:line="380" w:lineRule="exact"/>
              <w:ind w:firstLine="360"/>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（单位公章或授权代表签字）</w:t>
            </w:r>
          </w:p>
        </w:tc>
      </w:tr>
    </w:tbl>
    <w:p w14:paraId="7640C210">
      <w:pPr>
        <w:pStyle w:val="8"/>
        <w:ind w:firstLine="480"/>
        <w:rPr>
          <w:color w:val="auto"/>
          <w:highlight w:val="none"/>
        </w:rPr>
      </w:pPr>
    </w:p>
    <w:p w14:paraId="739900DD">
      <w:pPr>
        <w:spacing w:line="600" w:lineRule="exact"/>
        <w:ind w:firstLine="482"/>
        <w:jc w:val="center"/>
        <w:rPr>
          <w:rFonts w:hint="eastAsia" w:ascii="宋体" w:hAnsi="宋体" w:cs="宋体"/>
          <w:b/>
          <w:color w:val="auto"/>
          <w:szCs w:val="24"/>
          <w:highlight w:val="none"/>
        </w:rPr>
      </w:pPr>
    </w:p>
    <w:p w14:paraId="1CD0110C">
      <w:pPr>
        <w:pStyle w:val="11"/>
        <w:ind w:firstLine="482"/>
        <w:rPr>
          <w:rFonts w:hint="eastAsia" w:ascii="宋体" w:hAnsi="宋体" w:cs="宋体"/>
          <w:b/>
          <w:color w:val="auto"/>
          <w:szCs w:val="24"/>
          <w:highlight w:val="none"/>
        </w:rPr>
      </w:pPr>
    </w:p>
    <w:p w14:paraId="234B12C5">
      <w:pPr>
        <w:ind w:firstLine="482"/>
        <w:rPr>
          <w:rFonts w:hint="eastAsia" w:ascii="宋体" w:hAnsi="宋体" w:cs="宋体"/>
          <w:b/>
          <w:color w:val="auto"/>
          <w:szCs w:val="24"/>
          <w:highlight w:val="none"/>
        </w:rPr>
      </w:pPr>
    </w:p>
    <w:p w14:paraId="73B83029">
      <w:pPr>
        <w:pStyle w:val="11"/>
        <w:ind w:firstLine="482"/>
        <w:rPr>
          <w:rFonts w:hint="eastAsia" w:ascii="宋体" w:hAnsi="宋体" w:cs="宋体"/>
          <w:b/>
          <w:color w:val="auto"/>
          <w:szCs w:val="24"/>
          <w:highlight w:val="none"/>
        </w:rPr>
      </w:pPr>
    </w:p>
    <w:p w14:paraId="2BAC05D7">
      <w:pPr>
        <w:ind w:firstLine="482"/>
        <w:rPr>
          <w:rFonts w:hint="eastAsia" w:ascii="宋体" w:hAnsi="宋体" w:cs="宋体"/>
          <w:b/>
          <w:color w:val="auto"/>
          <w:szCs w:val="24"/>
          <w:highlight w:val="none"/>
        </w:rPr>
      </w:pPr>
    </w:p>
    <w:p w14:paraId="353896C9">
      <w:pPr>
        <w:rPr>
          <w:rFonts w:hint="eastAsia" w:ascii="宋体" w:hAnsi="宋体" w:cs="宋体"/>
          <w:b/>
          <w:color w:val="auto"/>
          <w:szCs w:val="24"/>
          <w:highlight w:val="none"/>
        </w:rPr>
      </w:pPr>
      <w:r>
        <w:rPr>
          <w:rFonts w:hint="eastAsia" w:ascii="宋体" w:hAnsi="宋体" w:cs="宋体"/>
          <w:b/>
          <w:color w:val="auto"/>
          <w:szCs w:val="24"/>
          <w:highlight w:val="none"/>
        </w:rPr>
        <w:br w:type="page"/>
      </w:r>
    </w:p>
    <w:p w14:paraId="4BF9D750">
      <w:pPr>
        <w:rPr>
          <w:rFonts w:hint="eastAsia"/>
          <w:color w:val="auto"/>
          <w:highlight w:val="none"/>
        </w:rPr>
      </w:pPr>
    </w:p>
    <w:p w14:paraId="1FA98DD4">
      <w:pPr>
        <w:ind w:firstLine="480"/>
        <w:rPr>
          <w:color w:val="auto"/>
          <w:highlight w:val="none"/>
        </w:rPr>
      </w:pPr>
    </w:p>
    <w:tbl>
      <w:tblPr>
        <w:tblStyle w:val="25"/>
        <w:tblW w:w="5000" w:type="pct"/>
        <w:tblInd w:w="0" w:type="dxa"/>
        <w:tblLayout w:type="autofit"/>
        <w:tblCellMar>
          <w:top w:w="0" w:type="dxa"/>
          <w:left w:w="108" w:type="dxa"/>
          <w:bottom w:w="0" w:type="dxa"/>
          <w:right w:w="108" w:type="dxa"/>
        </w:tblCellMar>
      </w:tblPr>
      <w:tblGrid>
        <w:gridCol w:w="2967"/>
        <w:gridCol w:w="2083"/>
        <w:gridCol w:w="2064"/>
        <w:gridCol w:w="1408"/>
      </w:tblGrid>
      <w:tr w14:paraId="30F3935D">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60D24E3D">
            <w:pPr>
              <w:widowControl/>
              <w:ind w:firstLine="800"/>
              <w:jc w:val="center"/>
              <w:rPr>
                <w:rFonts w:hint="eastAsia" w:ascii="方正小标宋_GBK" w:hAnsi="方正小标宋_GBK" w:eastAsia="方正小标宋_GBK" w:cs="方正小标宋_GBK"/>
                <w:color w:val="auto"/>
                <w:sz w:val="40"/>
                <w:szCs w:val="40"/>
                <w:highlight w:val="none"/>
              </w:rPr>
            </w:pPr>
            <w:r>
              <w:rPr>
                <w:rFonts w:ascii="方正小标宋_GBK" w:hAnsi="方正小标宋_GBK" w:eastAsia="方正小标宋_GBK" w:cs="方正小标宋_GBK"/>
                <w:color w:val="auto"/>
                <w:sz w:val="40"/>
                <w:szCs w:val="40"/>
                <w:highlight w:val="none"/>
                <w:lang w:bidi="ar"/>
              </w:rPr>
              <w:t>政府采购履约验收通知单</w:t>
            </w:r>
          </w:p>
        </w:tc>
      </w:tr>
      <w:tr w14:paraId="5586D20D">
        <w:tblPrEx>
          <w:tblCellMar>
            <w:top w:w="0" w:type="dxa"/>
            <w:left w:w="108" w:type="dxa"/>
            <w:bottom w:w="0" w:type="dxa"/>
            <w:right w:w="108" w:type="dxa"/>
          </w:tblCellMar>
        </w:tblPrEx>
        <w:trPr>
          <w:trHeight w:val="600" w:hRule="atLeast"/>
        </w:trPr>
        <w:tc>
          <w:tcPr>
            <w:tcW w:w="1741" w:type="pct"/>
            <w:tcBorders>
              <w:top w:val="nil"/>
              <w:left w:val="nil"/>
              <w:bottom w:val="nil"/>
              <w:right w:val="nil"/>
            </w:tcBorders>
            <w:noWrap/>
            <w:vAlign w:val="center"/>
          </w:tcPr>
          <w:p w14:paraId="5F4228BC">
            <w:pPr>
              <w:widowControl/>
              <w:ind w:firstLine="480"/>
              <w:jc w:val="left"/>
              <w:rPr>
                <w:rFonts w:hint="eastAsia" w:ascii="宋体" w:hAnsi="宋体" w:cs="宋体"/>
                <w:color w:val="auto"/>
                <w:szCs w:val="24"/>
                <w:highlight w:val="none"/>
              </w:rPr>
            </w:pPr>
            <w:r>
              <w:rPr>
                <w:rFonts w:hint="eastAsia" w:ascii="宋体" w:hAnsi="宋体" w:cs="宋体"/>
                <w:color w:val="auto"/>
                <w:szCs w:val="24"/>
                <w:highlight w:val="none"/>
                <w:lang w:bidi="ar"/>
              </w:rPr>
              <w:t>供应商：</w:t>
            </w:r>
          </w:p>
        </w:tc>
        <w:tc>
          <w:tcPr>
            <w:tcW w:w="1222" w:type="pct"/>
            <w:tcBorders>
              <w:top w:val="nil"/>
              <w:left w:val="nil"/>
              <w:bottom w:val="nil"/>
              <w:right w:val="nil"/>
            </w:tcBorders>
            <w:noWrap/>
            <w:vAlign w:val="center"/>
          </w:tcPr>
          <w:p w14:paraId="58D33B35">
            <w:pPr>
              <w:ind w:firstLine="480"/>
              <w:jc w:val="center"/>
              <w:rPr>
                <w:rFonts w:hint="eastAsia" w:ascii="宋体" w:hAnsi="宋体" w:cs="宋体"/>
                <w:color w:val="auto"/>
                <w:szCs w:val="24"/>
                <w:highlight w:val="none"/>
              </w:rPr>
            </w:pPr>
          </w:p>
        </w:tc>
        <w:tc>
          <w:tcPr>
            <w:tcW w:w="1211" w:type="pct"/>
            <w:tcBorders>
              <w:top w:val="nil"/>
              <w:left w:val="nil"/>
              <w:bottom w:val="nil"/>
              <w:right w:val="nil"/>
            </w:tcBorders>
            <w:noWrap/>
            <w:vAlign w:val="center"/>
          </w:tcPr>
          <w:p w14:paraId="722A4DD0">
            <w:pPr>
              <w:ind w:firstLine="480"/>
              <w:jc w:val="center"/>
              <w:rPr>
                <w:rFonts w:hint="eastAsia" w:ascii="宋体" w:hAnsi="宋体" w:cs="宋体"/>
                <w:color w:val="auto"/>
                <w:szCs w:val="24"/>
                <w:highlight w:val="none"/>
              </w:rPr>
            </w:pPr>
          </w:p>
        </w:tc>
        <w:tc>
          <w:tcPr>
            <w:tcW w:w="823" w:type="pct"/>
            <w:tcBorders>
              <w:top w:val="nil"/>
              <w:left w:val="nil"/>
              <w:bottom w:val="nil"/>
              <w:right w:val="nil"/>
            </w:tcBorders>
            <w:noWrap/>
            <w:vAlign w:val="center"/>
          </w:tcPr>
          <w:p w14:paraId="4A4A09B9">
            <w:pPr>
              <w:ind w:firstLine="480"/>
              <w:jc w:val="center"/>
              <w:rPr>
                <w:rFonts w:hint="eastAsia" w:ascii="宋体" w:hAnsi="宋体" w:cs="宋体"/>
                <w:color w:val="auto"/>
                <w:szCs w:val="24"/>
                <w:highlight w:val="none"/>
              </w:rPr>
            </w:pPr>
          </w:p>
        </w:tc>
      </w:tr>
      <w:tr w14:paraId="513F21F8">
        <w:tblPrEx>
          <w:tblCellMar>
            <w:top w:w="0" w:type="dxa"/>
            <w:left w:w="108" w:type="dxa"/>
            <w:bottom w:w="0" w:type="dxa"/>
            <w:right w:w="108" w:type="dxa"/>
          </w:tblCellMar>
        </w:tblPrEx>
        <w:trPr>
          <w:trHeight w:val="600" w:hRule="atLeast"/>
        </w:trPr>
        <w:tc>
          <w:tcPr>
            <w:tcW w:w="1741" w:type="pct"/>
            <w:tcBorders>
              <w:top w:val="single" w:color="000000" w:sz="4" w:space="0"/>
              <w:left w:val="single" w:color="000000" w:sz="4" w:space="0"/>
              <w:bottom w:val="single" w:color="000000" w:sz="4" w:space="0"/>
              <w:right w:val="single" w:color="000000" w:sz="4" w:space="0"/>
            </w:tcBorders>
            <w:noWrap/>
            <w:vAlign w:val="center"/>
          </w:tcPr>
          <w:p w14:paraId="1C3DD895">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采购人</w:t>
            </w:r>
          </w:p>
        </w:tc>
        <w:tc>
          <w:tcPr>
            <w:tcW w:w="3258" w:type="pct"/>
            <w:gridSpan w:val="3"/>
            <w:tcBorders>
              <w:top w:val="single" w:color="000000" w:sz="4" w:space="0"/>
              <w:left w:val="single" w:color="000000" w:sz="4" w:space="0"/>
              <w:bottom w:val="single" w:color="000000" w:sz="4" w:space="0"/>
              <w:right w:val="single" w:color="000000" w:sz="4" w:space="0"/>
            </w:tcBorders>
            <w:noWrap/>
            <w:vAlign w:val="center"/>
          </w:tcPr>
          <w:p w14:paraId="7AAAFB4C">
            <w:pPr>
              <w:ind w:firstLine="480"/>
              <w:jc w:val="center"/>
              <w:rPr>
                <w:rFonts w:hint="eastAsia" w:ascii="宋体" w:hAnsi="宋体" w:cs="宋体"/>
                <w:color w:val="auto"/>
                <w:szCs w:val="24"/>
                <w:highlight w:val="none"/>
              </w:rPr>
            </w:pPr>
          </w:p>
        </w:tc>
      </w:tr>
      <w:tr w14:paraId="6253C230">
        <w:tblPrEx>
          <w:tblCellMar>
            <w:top w:w="0" w:type="dxa"/>
            <w:left w:w="108" w:type="dxa"/>
            <w:bottom w:w="0" w:type="dxa"/>
            <w:right w:w="108" w:type="dxa"/>
          </w:tblCellMar>
        </w:tblPrEx>
        <w:trPr>
          <w:trHeight w:val="600" w:hRule="atLeast"/>
        </w:trPr>
        <w:tc>
          <w:tcPr>
            <w:tcW w:w="1741" w:type="pct"/>
            <w:tcBorders>
              <w:top w:val="single" w:color="000000" w:sz="4" w:space="0"/>
              <w:left w:val="single" w:color="000000" w:sz="4" w:space="0"/>
              <w:bottom w:val="single" w:color="000000" w:sz="4" w:space="0"/>
              <w:right w:val="single" w:color="000000" w:sz="4" w:space="0"/>
            </w:tcBorders>
            <w:noWrap/>
            <w:vAlign w:val="center"/>
          </w:tcPr>
          <w:p w14:paraId="5F4EE4EB">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项目名称</w:t>
            </w:r>
          </w:p>
        </w:tc>
        <w:tc>
          <w:tcPr>
            <w:tcW w:w="3258" w:type="pct"/>
            <w:gridSpan w:val="3"/>
            <w:tcBorders>
              <w:top w:val="single" w:color="000000" w:sz="4" w:space="0"/>
              <w:left w:val="single" w:color="000000" w:sz="4" w:space="0"/>
              <w:bottom w:val="single" w:color="000000" w:sz="4" w:space="0"/>
              <w:right w:val="single" w:color="000000" w:sz="4" w:space="0"/>
            </w:tcBorders>
            <w:noWrap/>
            <w:vAlign w:val="center"/>
          </w:tcPr>
          <w:p w14:paraId="748E393F">
            <w:pPr>
              <w:ind w:firstLine="480"/>
              <w:jc w:val="center"/>
              <w:rPr>
                <w:rFonts w:hint="eastAsia" w:ascii="宋体" w:hAnsi="宋体" w:cs="宋体"/>
                <w:color w:val="auto"/>
                <w:szCs w:val="24"/>
                <w:highlight w:val="none"/>
              </w:rPr>
            </w:pPr>
          </w:p>
        </w:tc>
      </w:tr>
      <w:tr w14:paraId="4A6E8C54">
        <w:tblPrEx>
          <w:tblCellMar>
            <w:top w:w="0" w:type="dxa"/>
            <w:left w:w="108" w:type="dxa"/>
            <w:bottom w:w="0" w:type="dxa"/>
            <w:right w:w="108" w:type="dxa"/>
          </w:tblCellMar>
        </w:tblPrEx>
        <w:trPr>
          <w:trHeight w:val="600" w:hRule="atLeast"/>
        </w:trPr>
        <w:tc>
          <w:tcPr>
            <w:tcW w:w="1741" w:type="pct"/>
            <w:tcBorders>
              <w:top w:val="single" w:color="000000" w:sz="4" w:space="0"/>
              <w:left w:val="single" w:color="000000" w:sz="4" w:space="0"/>
              <w:bottom w:val="single" w:color="000000" w:sz="4" w:space="0"/>
              <w:right w:val="single" w:color="000000" w:sz="4" w:space="0"/>
            </w:tcBorders>
            <w:noWrap/>
            <w:vAlign w:val="center"/>
          </w:tcPr>
          <w:p w14:paraId="07F2452F">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合同名称</w:t>
            </w:r>
          </w:p>
        </w:tc>
        <w:tc>
          <w:tcPr>
            <w:tcW w:w="3258" w:type="pct"/>
            <w:gridSpan w:val="3"/>
            <w:tcBorders>
              <w:top w:val="single" w:color="000000" w:sz="4" w:space="0"/>
              <w:left w:val="single" w:color="000000" w:sz="4" w:space="0"/>
              <w:bottom w:val="single" w:color="000000" w:sz="4" w:space="0"/>
              <w:right w:val="single" w:color="000000" w:sz="4" w:space="0"/>
            </w:tcBorders>
            <w:noWrap/>
            <w:vAlign w:val="center"/>
          </w:tcPr>
          <w:p w14:paraId="7D8B04A3">
            <w:pPr>
              <w:ind w:firstLine="480"/>
              <w:jc w:val="center"/>
              <w:rPr>
                <w:rFonts w:hint="eastAsia" w:ascii="宋体" w:hAnsi="宋体" w:cs="宋体"/>
                <w:color w:val="auto"/>
                <w:szCs w:val="24"/>
                <w:highlight w:val="none"/>
              </w:rPr>
            </w:pPr>
          </w:p>
        </w:tc>
      </w:tr>
      <w:tr w14:paraId="20A3DA32">
        <w:tblPrEx>
          <w:tblCellMar>
            <w:top w:w="0" w:type="dxa"/>
            <w:left w:w="108" w:type="dxa"/>
            <w:bottom w:w="0" w:type="dxa"/>
            <w:right w:w="108" w:type="dxa"/>
          </w:tblCellMar>
        </w:tblPrEx>
        <w:trPr>
          <w:trHeight w:val="600" w:hRule="atLeast"/>
        </w:trPr>
        <w:tc>
          <w:tcPr>
            <w:tcW w:w="1741" w:type="pct"/>
            <w:tcBorders>
              <w:top w:val="single" w:color="000000" w:sz="4" w:space="0"/>
              <w:left w:val="single" w:color="000000" w:sz="4" w:space="0"/>
              <w:bottom w:val="single" w:color="000000" w:sz="4" w:space="0"/>
              <w:right w:val="single" w:color="000000" w:sz="4" w:space="0"/>
            </w:tcBorders>
            <w:noWrap/>
            <w:vAlign w:val="center"/>
          </w:tcPr>
          <w:p w14:paraId="522F16DB">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合同编号</w:t>
            </w:r>
          </w:p>
        </w:tc>
        <w:tc>
          <w:tcPr>
            <w:tcW w:w="1222" w:type="pct"/>
            <w:tcBorders>
              <w:top w:val="single" w:color="000000" w:sz="4" w:space="0"/>
              <w:left w:val="single" w:color="000000" w:sz="4" w:space="0"/>
              <w:bottom w:val="single" w:color="000000" w:sz="4" w:space="0"/>
              <w:right w:val="single" w:color="000000" w:sz="4" w:space="0"/>
            </w:tcBorders>
            <w:noWrap/>
            <w:vAlign w:val="center"/>
          </w:tcPr>
          <w:p w14:paraId="585EBAD9">
            <w:pPr>
              <w:ind w:firstLine="480"/>
              <w:jc w:val="center"/>
              <w:rPr>
                <w:rFonts w:hint="eastAsia" w:ascii="宋体" w:hAnsi="宋体" w:cs="宋体"/>
                <w:color w:val="auto"/>
                <w:szCs w:val="24"/>
                <w:highlight w:val="none"/>
              </w:rPr>
            </w:pP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401A1914">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合同金额</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5E98B5E3">
            <w:pPr>
              <w:ind w:firstLine="480"/>
              <w:jc w:val="center"/>
              <w:rPr>
                <w:rFonts w:hint="eastAsia" w:ascii="宋体" w:hAnsi="宋体" w:cs="宋体"/>
                <w:color w:val="auto"/>
                <w:szCs w:val="24"/>
                <w:highlight w:val="none"/>
              </w:rPr>
            </w:pPr>
          </w:p>
        </w:tc>
      </w:tr>
      <w:tr w14:paraId="36F5B505">
        <w:tblPrEx>
          <w:tblCellMar>
            <w:top w:w="0" w:type="dxa"/>
            <w:left w:w="108" w:type="dxa"/>
            <w:bottom w:w="0" w:type="dxa"/>
            <w:right w:w="108" w:type="dxa"/>
          </w:tblCellMar>
        </w:tblPrEx>
        <w:trPr>
          <w:trHeight w:val="600" w:hRule="atLeast"/>
        </w:trPr>
        <w:tc>
          <w:tcPr>
            <w:tcW w:w="1741" w:type="pct"/>
            <w:tcBorders>
              <w:top w:val="single" w:color="000000" w:sz="4" w:space="0"/>
              <w:left w:val="single" w:color="000000" w:sz="4" w:space="0"/>
              <w:bottom w:val="single" w:color="000000" w:sz="4" w:space="0"/>
              <w:right w:val="single" w:color="000000" w:sz="4" w:space="0"/>
            </w:tcBorders>
            <w:noWrap/>
            <w:vAlign w:val="center"/>
          </w:tcPr>
          <w:p w14:paraId="54E36DAD">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验收时间</w:t>
            </w:r>
          </w:p>
        </w:tc>
        <w:tc>
          <w:tcPr>
            <w:tcW w:w="1222" w:type="pct"/>
            <w:tcBorders>
              <w:top w:val="single" w:color="000000" w:sz="4" w:space="0"/>
              <w:left w:val="single" w:color="000000" w:sz="4" w:space="0"/>
              <w:bottom w:val="single" w:color="000000" w:sz="4" w:space="0"/>
              <w:right w:val="single" w:color="000000" w:sz="4" w:space="0"/>
            </w:tcBorders>
            <w:noWrap/>
            <w:vAlign w:val="center"/>
          </w:tcPr>
          <w:p w14:paraId="76D3EC01">
            <w:pPr>
              <w:ind w:firstLine="480"/>
              <w:jc w:val="center"/>
              <w:rPr>
                <w:rFonts w:hint="eastAsia" w:ascii="宋体" w:hAnsi="宋体" w:cs="宋体"/>
                <w:color w:val="auto"/>
                <w:szCs w:val="24"/>
                <w:highlight w:val="none"/>
              </w:rPr>
            </w:pP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095DCE26">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验收地点</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6646EAE1">
            <w:pPr>
              <w:ind w:firstLine="480"/>
              <w:jc w:val="center"/>
              <w:rPr>
                <w:rFonts w:hint="eastAsia" w:ascii="宋体" w:hAnsi="宋体" w:cs="宋体"/>
                <w:color w:val="auto"/>
                <w:szCs w:val="24"/>
                <w:highlight w:val="none"/>
              </w:rPr>
            </w:pPr>
          </w:p>
        </w:tc>
      </w:tr>
      <w:tr w14:paraId="4E7362CC">
        <w:tblPrEx>
          <w:tblCellMar>
            <w:top w:w="0" w:type="dxa"/>
            <w:left w:w="108" w:type="dxa"/>
            <w:bottom w:w="0" w:type="dxa"/>
            <w:right w:w="108" w:type="dxa"/>
          </w:tblCellMar>
        </w:tblPrEx>
        <w:trPr>
          <w:trHeight w:val="600" w:hRule="atLeast"/>
        </w:trPr>
        <w:tc>
          <w:tcPr>
            <w:tcW w:w="1741" w:type="pct"/>
            <w:tcBorders>
              <w:top w:val="single" w:color="000000" w:sz="4" w:space="0"/>
              <w:left w:val="single" w:color="000000" w:sz="4" w:space="0"/>
              <w:bottom w:val="single" w:color="000000" w:sz="4" w:space="0"/>
              <w:right w:val="single" w:color="000000" w:sz="4" w:space="0"/>
            </w:tcBorders>
            <w:noWrap/>
            <w:vAlign w:val="center"/>
          </w:tcPr>
          <w:p w14:paraId="5DE66E13">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联系人</w:t>
            </w:r>
          </w:p>
        </w:tc>
        <w:tc>
          <w:tcPr>
            <w:tcW w:w="1222" w:type="pct"/>
            <w:tcBorders>
              <w:top w:val="single" w:color="000000" w:sz="4" w:space="0"/>
              <w:left w:val="single" w:color="000000" w:sz="4" w:space="0"/>
              <w:bottom w:val="single" w:color="000000" w:sz="4" w:space="0"/>
              <w:right w:val="single" w:color="000000" w:sz="4" w:space="0"/>
            </w:tcBorders>
            <w:noWrap/>
            <w:vAlign w:val="center"/>
          </w:tcPr>
          <w:p w14:paraId="0C269609">
            <w:pPr>
              <w:ind w:firstLine="480"/>
              <w:jc w:val="center"/>
              <w:rPr>
                <w:rFonts w:hint="eastAsia" w:ascii="宋体" w:hAnsi="宋体" w:cs="宋体"/>
                <w:color w:val="auto"/>
                <w:szCs w:val="24"/>
                <w:highlight w:val="none"/>
              </w:rPr>
            </w:pP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1EE896F6">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联系电话</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35A48064">
            <w:pPr>
              <w:ind w:firstLine="480"/>
              <w:jc w:val="center"/>
              <w:rPr>
                <w:rFonts w:hint="eastAsia" w:ascii="宋体" w:hAnsi="宋体" w:cs="宋体"/>
                <w:color w:val="auto"/>
                <w:szCs w:val="24"/>
                <w:highlight w:val="none"/>
              </w:rPr>
            </w:pPr>
          </w:p>
        </w:tc>
      </w:tr>
      <w:tr w14:paraId="7332773F">
        <w:tblPrEx>
          <w:tblCellMar>
            <w:top w:w="0" w:type="dxa"/>
            <w:left w:w="108" w:type="dxa"/>
            <w:bottom w:w="0" w:type="dxa"/>
            <w:right w:w="108" w:type="dxa"/>
          </w:tblCellMar>
        </w:tblPrEx>
        <w:trPr>
          <w:trHeight w:val="3782"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624D394D">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履约验收方案及工作要求</w:t>
            </w:r>
          </w:p>
        </w:tc>
      </w:tr>
      <w:tr w14:paraId="6D1E2052">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37F0C4C1">
            <w:pPr>
              <w:widowControl/>
              <w:ind w:firstLine="480"/>
              <w:jc w:val="center"/>
              <w:rPr>
                <w:rFonts w:hint="eastAsia" w:ascii="宋体" w:hAnsi="宋体" w:cs="宋体"/>
                <w:color w:val="auto"/>
                <w:szCs w:val="24"/>
                <w:highlight w:val="none"/>
              </w:rPr>
            </w:pPr>
            <w:r>
              <w:rPr>
                <w:rFonts w:hint="eastAsia" w:ascii="宋体" w:hAnsi="宋体" w:cs="宋体"/>
                <w:color w:val="auto"/>
                <w:szCs w:val="24"/>
                <w:highlight w:val="none"/>
                <w:lang w:bidi="ar"/>
              </w:rPr>
              <w:t xml:space="preserve">        单位公章</w:t>
            </w:r>
            <w:r>
              <w:rPr>
                <w:rFonts w:hint="eastAsia" w:ascii="宋体" w:hAnsi="宋体" w:cs="宋体"/>
                <w:color w:val="auto"/>
                <w:szCs w:val="24"/>
                <w:highlight w:val="none"/>
                <w:lang w:bidi="ar"/>
              </w:rPr>
              <w:br w:type="textWrapping"/>
            </w:r>
            <w:r>
              <w:rPr>
                <w:rFonts w:hint="eastAsia" w:ascii="宋体" w:hAnsi="宋体" w:cs="宋体"/>
                <w:color w:val="auto"/>
                <w:szCs w:val="24"/>
                <w:highlight w:val="none"/>
                <w:lang w:bidi="ar"/>
              </w:rPr>
              <w:t xml:space="preserve">         年   月    日</w:t>
            </w:r>
          </w:p>
        </w:tc>
      </w:tr>
      <w:tr w14:paraId="39604529">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C9E9F25">
            <w:pPr>
              <w:ind w:firstLine="480"/>
              <w:jc w:val="center"/>
              <w:rPr>
                <w:rFonts w:hint="eastAsia" w:ascii="宋体" w:hAnsi="宋体" w:cs="宋体"/>
                <w:color w:val="auto"/>
                <w:szCs w:val="24"/>
                <w:highlight w:val="none"/>
              </w:rPr>
            </w:pPr>
          </w:p>
        </w:tc>
      </w:tr>
      <w:tr w14:paraId="785D9968">
        <w:tblPrEx>
          <w:tblCellMar>
            <w:top w:w="0" w:type="dxa"/>
            <w:left w:w="108" w:type="dxa"/>
            <w:bottom w:w="0" w:type="dxa"/>
            <w:right w:w="108" w:type="dxa"/>
          </w:tblCellMar>
        </w:tblPrEx>
        <w:trPr>
          <w:trHeight w:val="156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ED76BE1">
            <w:pPr>
              <w:ind w:firstLine="480"/>
              <w:jc w:val="center"/>
              <w:rPr>
                <w:rFonts w:hint="eastAsia" w:ascii="宋体" w:hAnsi="宋体" w:cs="宋体"/>
                <w:color w:val="auto"/>
                <w:szCs w:val="24"/>
                <w:highlight w:val="none"/>
              </w:rPr>
            </w:pPr>
          </w:p>
        </w:tc>
      </w:tr>
    </w:tbl>
    <w:p w14:paraId="296B6874">
      <w:pPr>
        <w:spacing w:line="600" w:lineRule="exact"/>
        <w:ind w:firstLine="482"/>
        <w:rPr>
          <w:rFonts w:hint="eastAsia" w:ascii="宋体" w:hAnsi="宋体" w:cs="宋体"/>
          <w:b/>
          <w:color w:val="auto"/>
          <w:szCs w:val="24"/>
          <w:highlight w:val="none"/>
        </w:rPr>
      </w:pPr>
    </w:p>
    <w:p w14:paraId="283CD464">
      <w:pPr>
        <w:spacing w:line="600" w:lineRule="exact"/>
        <w:ind w:firstLine="723"/>
        <w:jc w:val="center"/>
        <w:rPr>
          <w:rFonts w:ascii="Futura Lt" w:hAnsi="Futura Lt" w:cs="Futura Lt"/>
          <w:b/>
          <w:color w:val="auto"/>
          <w:sz w:val="36"/>
          <w:szCs w:val="36"/>
          <w:highlight w:val="none"/>
        </w:rPr>
      </w:pPr>
    </w:p>
    <w:p w14:paraId="1D47AED0">
      <w:pPr>
        <w:spacing w:line="600" w:lineRule="exact"/>
        <w:ind w:firstLine="723"/>
        <w:jc w:val="center"/>
        <w:rPr>
          <w:rFonts w:ascii="Futura Lt" w:hAnsi="Futura Lt" w:cs="Futura Lt"/>
          <w:b/>
          <w:color w:val="auto"/>
          <w:sz w:val="36"/>
          <w:szCs w:val="36"/>
          <w:highlight w:val="none"/>
        </w:rPr>
      </w:pPr>
      <w:r>
        <w:rPr>
          <w:rFonts w:hint="eastAsia" w:ascii="Futura Lt" w:hAnsi="Futura Lt" w:cs="Futura Lt"/>
          <w:b/>
          <w:color w:val="auto"/>
          <w:sz w:val="36"/>
          <w:szCs w:val="36"/>
          <w:highlight w:val="none"/>
        </w:rPr>
        <w:t>第四部分   单一来源采购程序</w:t>
      </w:r>
    </w:p>
    <w:p w14:paraId="0CD59128">
      <w:pPr>
        <w:spacing w:after="200" w:line="500" w:lineRule="exact"/>
        <w:ind w:firstLine="480"/>
        <w:rPr>
          <w:rFonts w:ascii="Arial" w:hAnsi="Arial" w:eastAsia="Arial" w:cs="Times New Roman"/>
          <w:color w:val="auto"/>
          <w:szCs w:val="20"/>
          <w:highlight w:val="none"/>
        </w:rPr>
      </w:pPr>
    </w:p>
    <w:p w14:paraId="5835FA7B">
      <w:pPr>
        <w:widowControl/>
        <w:adjustRightInd w:val="0"/>
        <w:snapToGrid w:val="0"/>
        <w:spacing w:after="200" w:line="580" w:lineRule="exact"/>
        <w:ind w:firstLine="560"/>
        <w:jc w:val="left"/>
        <w:rPr>
          <w:rFonts w:ascii="宋体" w:hAnsi="宋体" w:eastAsia="Arial" w:cs="Times New Roman"/>
          <w:color w:val="auto"/>
          <w:kern w:val="0"/>
          <w:sz w:val="28"/>
          <w:szCs w:val="28"/>
          <w:highlight w:val="none"/>
        </w:rPr>
      </w:pPr>
      <w:r>
        <w:rPr>
          <w:rFonts w:hint="eastAsia" w:ascii="宋体" w:hAnsi="宋体" w:eastAsia="Arial" w:cs="Times New Roman"/>
          <w:color w:val="auto"/>
          <w:kern w:val="0"/>
          <w:sz w:val="28"/>
          <w:szCs w:val="28"/>
          <w:highlight w:val="none"/>
        </w:rPr>
        <w:t>一、向单一来源采购响应单位发出邀请书；</w:t>
      </w:r>
    </w:p>
    <w:p w14:paraId="5F721790">
      <w:pPr>
        <w:widowControl/>
        <w:adjustRightInd w:val="0"/>
        <w:snapToGrid w:val="0"/>
        <w:spacing w:after="200" w:line="580" w:lineRule="exact"/>
        <w:ind w:firstLine="560"/>
        <w:jc w:val="left"/>
        <w:rPr>
          <w:rFonts w:ascii="宋体" w:hAnsi="宋体" w:eastAsia="Arial" w:cs="Times New Roman"/>
          <w:color w:val="auto"/>
          <w:kern w:val="0"/>
          <w:sz w:val="28"/>
          <w:szCs w:val="28"/>
          <w:highlight w:val="none"/>
        </w:rPr>
      </w:pPr>
      <w:r>
        <w:rPr>
          <w:rFonts w:hint="eastAsia" w:ascii="宋体" w:hAnsi="宋体" w:eastAsia="Arial" w:cs="Times New Roman"/>
          <w:color w:val="auto"/>
          <w:kern w:val="0"/>
          <w:sz w:val="28"/>
          <w:szCs w:val="28"/>
          <w:highlight w:val="none"/>
        </w:rPr>
        <w:t>二、单一来源采购响应单位按要求制作并上传响应响应文件；</w:t>
      </w:r>
    </w:p>
    <w:p w14:paraId="173FF526">
      <w:pPr>
        <w:widowControl/>
        <w:adjustRightInd w:val="0"/>
        <w:snapToGrid w:val="0"/>
        <w:spacing w:after="200" w:line="580" w:lineRule="exact"/>
        <w:ind w:firstLine="560"/>
        <w:jc w:val="left"/>
        <w:rPr>
          <w:rFonts w:ascii="宋体" w:hAnsi="宋体" w:eastAsia="Arial" w:cs="Times New Roman"/>
          <w:color w:val="auto"/>
          <w:kern w:val="0"/>
          <w:sz w:val="28"/>
          <w:szCs w:val="28"/>
          <w:highlight w:val="none"/>
        </w:rPr>
      </w:pPr>
      <w:r>
        <w:rPr>
          <w:rFonts w:hint="eastAsia" w:ascii="宋体" w:hAnsi="宋体" w:eastAsia="Arial" w:cs="Times New Roman"/>
          <w:color w:val="auto"/>
          <w:kern w:val="0"/>
          <w:sz w:val="28"/>
          <w:szCs w:val="28"/>
          <w:highlight w:val="none"/>
        </w:rPr>
        <w:t>三、根据采购文件的要求，由评审小组对单一来源采购响应单位的响应文件进行审查，确定其是否满足采购文件的要求；</w:t>
      </w:r>
    </w:p>
    <w:p w14:paraId="1624D7B4">
      <w:pPr>
        <w:widowControl/>
        <w:snapToGrid w:val="0"/>
        <w:spacing w:after="200" w:line="580" w:lineRule="exact"/>
        <w:ind w:firstLine="560"/>
        <w:jc w:val="left"/>
        <w:rPr>
          <w:rFonts w:ascii="宋体" w:hAnsi="宋体" w:eastAsia="Arial" w:cs="Times New Roman"/>
          <w:color w:val="auto"/>
          <w:kern w:val="0"/>
          <w:sz w:val="28"/>
          <w:szCs w:val="28"/>
          <w:highlight w:val="none"/>
        </w:rPr>
      </w:pPr>
      <w:r>
        <w:rPr>
          <w:rFonts w:hint="eastAsia" w:ascii="宋体" w:hAnsi="宋体" w:eastAsia="Arial" w:cs="Times New Roman"/>
          <w:color w:val="auto"/>
          <w:kern w:val="0"/>
          <w:sz w:val="28"/>
          <w:szCs w:val="28"/>
          <w:highlight w:val="none"/>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color w:val="auto"/>
          <w:kern w:val="0"/>
          <w:sz w:val="28"/>
          <w:szCs w:val="28"/>
          <w:highlight w:val="none"/>
        </w:rPr>
        <w:t>最终承诺及报价”</w:t>
      </w:r>
      <w:r>
        <w:rPr>
          <w:rFonts w:hint="eastAsia" w:ascii="宋体" w:hAnsi="宋体" w:eastAsia="Arial" w:cs="Times New Roman"/>
          <w:color w:val="auto"/>
          <w:kern w:val="0"/>
          <w:sz w:val="28"/>
          <w:szCs w:val="28"/>
          <w:highlight w:val="none"/>
        </w:rPr>
        <w:t>为最终报价。</w:t>
      </w:r>
    </w:p>
    <w:p w14:paraId="786EE502">
      <w:pPr>
        <w:widowControl/>
        <w:adjustRightInd w:val="0"/>
        <w:snapToGrid w:val="0"/>
        <w:spacing w:after="200" w:line="580" w:lineRule="exact"/>
        <w:ind w:firstLine="560"/>
        <w:jc w:val="left"/>
        <w:rPr>
          <w:rFonts w:ascii="宋体" w:hAnsi="宋体" w:eastAsia="Arial" w:cs="Times New Roman"/>
          <w:color w:val="auto"/>
          <w:kern w:val="0"/>
          <w:sz w:val="28"/>
          <w:szCs w:val="28"/>
          <w:highlight w:val="none"/>
        </w:rPr>
      </w:pPr>
      <w:r>
        <w:rPr>
          <w:rFonts w:hint="eastAsia" w:ascii="宋体" w:hAnsi="宋体" w:eastAsia="Arial" w:cs="Times New Roman"/>
          <w:color w:val="auto"/>
          <w:kern w:val="0"/>
          <w:sz w:val="28"/>
          <w:szCs w:val="28"/>
          <w:highlight w:val="none"/>
        </w:rPr>
        <w:t>五、由评审小组根据成交原则，确定成交供应商；</w:t>
      </w:r>
    </w:p>
    <w:p w14:paraId="1E72FC7C">
      <w:pPr>
        <w:tabs>
          <w:tab w:val="left" w:pos="5250"/>
        </w:tabs>
        <w:adjustRightInd w:val="0"/>
        <w:snapToGrid w:val="0"/>
        <w:spacing w:line="580" w:lineRule="exact"/>
        <w:ind w:firstLine="560"/>
        <w:rPr>
          <w:rFonts w:ascii="宋体" w:hAnsi="宋体" w:eastAsia="Arial" w:cs="Times New Roman"/>
          <w:color w:val="auto"/>
          <w:sz w:val="28"/>
          <w:szCs w:val="28"/>
          <w:highlight w:val="none"/>
        </w:rPr>
      </w:pPr>
      <w:r>
        <w:rPr>
          <w:rFonts w:hint="eastAsia" w:ascii="宋体" w:hAnsi="宋体" w:eastAsia="Arial" w:cs="Times New Roman"/>
          <w:color w:val="auto"/>
          <w:sz w:val="28"/>
          <w:szCs w:val="28"/>
          <w:highlight w:val="none"/>
        </w:rPr>
        <w:t>六、成交供应商和采购单位签订合同。</w:t>
      </w:r>
    </w:p>
    <w:p w14:paraId="24968F0F">
      <w:pPr>
        <w:widowControl/>
        <w:pBdr>
          <w:top w:val="none" w:color="000000" w:sz="0" w:space="0"/>
          <w:left w:val="none" w:color="000000" w:sz="0" w:space="0"/>
          <w:bottom w:val="none" w:color="000000" w:sz="0" w:space="0"/>
          <w:right w:val="none" w:color="000000" w:sz="0" w:space="0"/>
        </w:pBdr>
        <w:spacing w:before="240" w:after="240" w:line="276" w:lineRule="auto"/>
        <w:ind w:firstLine="883"/>
        <w:jc w:val="left"/>
        <w:rPr>
          <w:rFonts w:hint="eastAsia" w:ascii="宋体" w:hAnsi="宋体" w:cs="宋体"/>
          <w:b/>
          <w:color w:val="auto"/>
          <w:kern w:val="0"/>
          <w:sz w:val="44"/>
          <w:highlight w:val="none"/>
        </w:rPr>
      </w:pPr>
    </w:p>
    <w:p w14:paraId="5E899B99">
      <w:pPr>
        <w:widowControl/>
        <w:spacing w:after="200" w:line="276" w:lineRule="auto"/>
        <w:ind w:firstLine="883"/>
        <w:jc w:val="left"/>
        <w:rPr>
          <w:rFonts w:hint="eastAsia" w:ascii="宋体" w:hAnsi="宋体" w:cs="宋体"/>
          <w:b/>
          <w:color w:val="auto"/>
          <w:kern w:val="0"/>
          <w:sz w:val="44"/>
          <w:highlight w:val="none"/>
        </w:rPr>
      </w:pPr>
      <w:r>
        <w:rPr>
          <w:rFonts w:ascii="宋体" w:hAnsi="宋体" w:cs="宋体"/>
          <w:b/>
          <w:color w:val="auto"/>
          <w:kern w:val="0"/>
          <w:sz w:val="44"/>
          <w:highlight w:val="none"/>
        </w:rPr>
        <w:br w:type="page"/>
      </w:r>
    </w:p>
    <w:p w14:paraId="31A655A3">
      <w:pPr>
        <w:numPr>
          <w:ilvl w:val="0"/>
          <w:numId w:val="21"/>
        </w:numPr>
        <w:spacing w:line="600" w:lineRule="exact"/>
        <w:ind w:firstLine="883"/>
        <w:jc w:val="center"/>
        <w:rPr>
          <w:rFonts w:hint="eastAsia" w:ascii="宋体" w:hAnsi="宋体" w:cs="宋体"/>
          <w:b/>
          <w:color w:val="auto"/>
          <w:sz w:val="44"/>
          <w:szCs w:val="21"/>
          <w:highlight w:val="none"/>
        </w:rPr>
      </w:pPr>
      <w:r>
        <w:rPr>
          <w:rFonts w:hint="eastAsia" w:ascii="宋体" w:hAnsi="宋体" w:cs="宋体"/>
          <w:b/>
          <w:color w:val="auto"/>
          <w:sz w:val="44"/>
          <w:szCs w:val="21"/>
          <w:highlight w:val="none"/>
        </w:rPr>
        <w:t>成交原则</w:t>
      </w:r>
    </w:p>
    <w:p w14:paraId="0545449C">
      <w:pPr>
        <w:spacing w:line="600" w:lineRule="exact"/>
        <w:ind w:firstLine="883"/>
        <w:rPr>
          <w:rFonts w:hint="eastAsia" w:ascii="宋体" w:hAnsi="宋体" w:cs="宋体"/>
          <w:b/>
          <w:color w:val="auto"/>
          <w:sz w:val="44"/>
          <w:szCs w:val="21"/>
          <w:highlight w:val="none"/>
        </w:rPr>
      </w:pPr>
    </w:p>
    <w:p w14:paraId="2B065164">
      <w:pPr>
        <w:widowControl/>
        <w:pBdr>
          <w:top w:val="none" w:color="000000" w:sz="0" w:space="0"/>
          <w:left w:val="none" w:color="000000" w:sz="0" w:space="0"/>
          <w:bottom w:val="none" w:color="000000" w:sz="0" w:space="0"/>
          <w:right w:val="none" w:color="000000" w:sz="0" w:space="0"/>
        </w:pBdr>
        <w:spacing w:line="580" w:lineRule="exact"/>
        <w:ind w:firstLine="56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一、本次单一来源采购成交原则，适用于本次采购活动。</w:t>
      </w:r>
    </w:p>
    <w:p w14:paraId="07D71139">
      <w:pPr>
        <w:widowControl/>
        <w:pBdr>
          <w:top w:val="none" w:color="000000" w:sz="0" w:space="0"/>
          <w:left w:val="none" w:color="000000" w:sz="0" w:space="0"/>
          <w:bottom w:val="none" w:color="000000" w:sz="0" w:space="0"/>
          <w:right w:val="none" w:color="000000" w:sz="0" w:space="0"/>
        </w:pBdr>
        <w:spacing w:line="580" w:lineRule="exact"/>
        <w:ind w:firstLine="56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二、具备履约能力，能提供最佳售后服务。</w:t>
      </w:r>
    </w:p>
    <w:p w14:paraId="76C8BA0B">
      <w:pPr>
        <w:widowControl/>
        <w:pBdr>
          <w:top w:val="none" w:color="000000" w:sz="0" w:space="0"/>
          <w:left w:val="none" w:color="000000" w:sz="0" w:space="0"/>
          <w:bottom w:val="none" w:color="000000" w:sz="0" w:space="0"/>
          <w:right w:val="none" w:color="000000" w:sz="0" w:space="0"/>
        </w:pBdr>
        <w:spacing w:line="580" w:lineRule="exact"/>
        <w:ind w:firstLine="56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三、成交原则：采购小组根据单一来源采购响应单位提供的单一来源采购响应文件对服务质量、技术、售后服务及价格等方面的商谈进行评审，且单一来源采购响应单位的报价不超过采购单位预算或最高限价。</w:t>
      </w:r>
    </w:p>
    <w:p w14:paraId="61F340A8">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color w:val="auto"/>
          <w:kern w:val="0"/>
          <w:sz w:val="22"/>
          <w:highlight w:val="none"/>
        </w:rPr>
      </w:pPr>
      <w:r>
        <w:rPr>
          <w:rFonts w:eastAsia="Times New Roman" w:cs="Times New Roman"/>
          <w:color w:val="auto"/>
          <w:kern w:val="0"/>
          <w:highlight w:val="none"/>
        </w:rPr>
        <w:t> </w:t>
      </w:r>
    </w:p>
    <w:p w14:paraId="4C1293CA">
      <w:pPr>
        <w:widowControl/>
        <w:pBdr>
          <w:top w:val="none" w:color="000000" w:sz="0" w:space="0"/>
          <w:left w:val="none" w:color="000000" w:sz="0" w:space="0"/>
          <w:bottom w:val="none" w:color="000000" w:sz="0" w:space="0"/>
          <w:right w:val="none" w:color="000000" w:sz="0" w:space="0"/>
        </w:pBdr>
        <w:spacing w:line="460" w:lineRule="atLeast"/>
        <w:ind w:firstLine="482"/>
        <w:rPr>
          <w:rFonts w:ascii="Arial" w:hAnsi="Arial" w:eastAsia="Arial" w:cs="Times New Roman"/>
          <w:color w:val="auto"/>
          <w:kern w:val="0"/>
          <w:sz w:val="22"/>
          <w:highlight w:val="none"/>
        </w:rPr>
      </w:pPr>
      <w:r>
        <w:rPr>
          <w:rFonts w:ascii="宋体" w:hAnsi="宋体" w:cs="宋体"/>
          <w:b/>
          <w:color w:val="auto"/>
          <w:kern w:val="0"/>
          <w:highlight w:val="none"/>
        </w:rPr>
        <w:t> </w:t>
      </w:r>
    </w:p>
    <w:p w14:paraId="281723B5">
      <w:pPr>
        <w:widowControl/>
        <w:spacing w:after="200" w:line="276" w:lineRule="auto"/>
        <w:ind w:firstLine="883"/>
        <w:jc w:val="left"/>
        <w:rPr>
          <w:rFonts w:hint="eastAsia" w:ascii="宋体" w:hAnsi="宋体" w:cs="宋体"/>
          <w:b/>
          <w:color w:val="auto"/>
          <w:kern w:val="0"/>
          <w:sz w:val="44"/>
          <w:highlight w:val="none"/>
        </w:rPr>
      </w:pPr>
      <w:r>
        <w:rPr>
          <w:rFonts w:ascii="宋体" w:hAnsi="宋体" w:cs="宋体"/>
          <w:b/>
          <w:color w:val="auto"/>
          <w:kern w:val="0"/>
          <w:sz w:val="44"/>
          <w:highlight w:val="none"/>
        </w:rPr>
        <w:br w:type="page"/>
      </w:r>
    </w:p>
    <w:p w14:paraId="3B9B65A1">
      <w:pPr>
        <w:widowControl/>
        <w:pBdr>
          <w:top w:val="none" w:color="000000" w:sz="0" w:space="0"/>
          <w:left w:val="none" w:color="000000" w:sz="0" w:space="0"/>
          <w:bottom w:val="none" w:color="000000" w:sz="0" w:space="0"/>
          <w:right w:val="none" w:color="000000" w:sz="0" w:space="0"/>
        </w:pBdr>
        <w:spacing w:before="240" w:after="240" w:line="276" w:lineRule="auto"/>
        <w:ind w:firstLine="883"/>
        <w:jc w:val="left"/>
        <w:rPr>
          <w:rFonts w:ascii="宋体" w:hAnsi="宋体" w:eastAsia="Arial" w:cs="宋体"/>
          <w:color w:val="auto"/>
          <w:kern w:val="0"/>
          <w:sz w:val="22"/>
          <w:highlight w:val="none"/>
        </w:rPr>
      </w:pPr>
      <w:r>
        <w:rPr>
          <w:rFonts w:ascii="宋体" w:hAnsi="宋体" w:cs="宋体"/>
          <w:b/>
          <w:color w:val="auto"/>
          <w:kern w:val="0"/>
          <w:sz w:val="44"/>
          <w:highlight w:val="none"/>
        </w:rPr>
        <w:t xml:space="preserve">        第六部分 </w:t>
      </w:r>
      <w:r>
        <w:rPr>
          <w:rFonts w:hint="eastAsia" w:ascii="宋体" w:hAnsi="宋体" w:cs="宋体"/>
          <w:b/>
          <w:color w:val="auto"/>
          <w:kern w:val="0"/>
          <w:sz w:val="44"/>
          <w:highlight w:val="none"/>
        </w:rPr>
        <w:t xml:space="preserve">   合同条款</w:t>
      </w:r>
    </w:p>
    <w:p w14:paraId="5E97A32E">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采购人（以下称甲方）</w:t>
      </w:r>
      <w:r>
        <w:rPr>
          <w:rFonts w:ascii="宋体" w:hAnsi="宋体" w:cs="宋体"/>
          <w:color w:val="auto"/>
          <w:kern w:val="0"/>
          <w:highlight w:val="none"/>
        </w:rPr>
        <w:t xml:space="preserve">                      </w:t>
      </w:r>
      <w:r>
        <w:rPr>
          <w:rFonts w:hint="eastAsia" w:ascii="宋体" w:hAnsi="宋体" w:cs="宋体"/>
          <w:color w:val="auto"/>
          <w:kern w:val="0"/>
          <w:highlight w:val="none"/>
        </w:rPr>
        <w:t>供应商：（以下称乙方）</w:t>
      </w:r>
    </w:p>
    <w:p w14:paraId="08C4CF91">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地址：</w:t>
      </w:r>
      <w:r>
        <w:rPr>
          <w:rFonts w:ascii="宋体" w:hAnsi="宋体" w:cs="宋体"/>
          <w:color w:val="auto"/>
          <w:kern w:val="0"/>
          <w:highlight w:val="none"/>
        </w:rPr>
        <w:t xml:space="preserve">                                    </w:t>
      </w:r>
      <w:r>
        <w:rPr>
          <w:rFonts w:hint="eastAsia" w:ascii="宋体" w:hAnsi="宋体" w:cs="宋体"/>
          <w:color w:val="auto"/>
          <w:kern w:val="0"/>
          <w:highlight w:val="none"/>
        </w:rPr>
        <w:t>地址：</w:t>
      </w:r>
    </w:p>
    <w:p w14:paraId="59109D2A">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电话：</w:t>
      </w:r>
      <w:r>
        <w:rPr>
          <w:rFonts w:ascii="宋体" w:hAnsi="宋体" w:cs="宋体"/>
          <w:color w:val="auto"/>
          <w:kern w:val="0"/>
          <w:highlight w:val="none"/>
        </w:rPr>
        <w:t xml:space="preserve">                                    </w:t>
      </w:r>
      <w:r>
        <w:rPr>
          <w:rFonts w:hint="eastAsia" w:ascii="宋体" w:hAnsi="宋体" w:cs="宋体"/>
          <w:color w:val="auto"/>
          <w:kern w:val="0"/>
          <w:highlight w:val="none"/>
        </w:rPr>
        <w:t>电话：</w:t>
      </w:r>
    </w:p>
    <w:p w14:paraId="2E25B6AB">
      <w:pPr>
        <w:widowControl/>
        <w:spacing w:line="460" w:lineRule="atLeast"/>
        <w:ind w:firstLine="480"/>
        <w:jc w:val="left"/>
        <w:rPr>
          <w:rFonts w:ascii="Arial" w:hAnsi="Arial" w:cs="Times New Roman"/>
          <w:color w:val="auto"/>
          <w:kern w:val="0"/>
          <w:sz w:val="22"/>
          <w:highlight w:val="none"/>
        </w:rPr>
      </w:pPr>
      <w:r>
        <w:rPr>
          <w:rFonts w:hint="eastAsia" w:ascii="宋体" w:hAnsi="宋体" w:cs="宋体"/>
          <w:color w:val="auto"/>
          <w:kern w:val="0"/>
          <w:highlight w:val="none"/>
        </w:rPr>
        <w:t>根据《中华人民共和国民法典》、《中华人民共和国政府采购法》等法律法规的规定，甲、乙双方按照苏州市公共资源交易中心太仓分中心组织的关于</w:t>
      </w:r>
      <w:r>
        <w:rPr>
          <w:rFonts w:hint="eastAsia" w:ascii="宋体" w:hAnsi="宋体" w:cs="宋体"/>
          <w:b/>
          <w:bCs/>
          <w:color w:val="auto"/>
          <w:kern w:val="0"/>
          <w:szCs w:val="24"/>
          <w:highlight w:val="none"/>
          <w:u w:val="single"/>
        </w:rPr>
        <w:t xml:space="preserve">                         项目</w:t>
      </w:r>
      <w:r>
        <w:rPr>
          <w:rFonts w:ascii="宋体" w:hAnsi="宋体" w:cs="宋体"/>
          <w:b/>
          <w:bCs/>
          <w:color w:val="auto"/>
          <w:kern w:val="0"/>
          <w:szCs w:val="24"/>
          <w:highlight w:val="none"/>
          <w:u w:val="single"/>
        </w:rPr>
        <w:t xml:space="preserve"> </w:t>
      </w:r>
      <w:r>
        <w:rPr>
          <w:rFonts w:hint="eastAsia" w:ascii="宋体" w:hAnsi="宋体" w:cs="宋体"/>
          <w:color w:val="auto"/>
          <w:kern w:val="0"/>
          <w:highlight w:val="none"/>
        </w:rPr>
        <w:t xml:space="preserve"> （</w:t>
      </w:r>
      <w:r>
        <w:rPr>
          <w:rFonts w:hint="eastAsia" w:ascii="宋体" w:hAnsi="宋体" w:cs="宋体"/>
          <w:b/>
          <w:color w:val="auto"/>
          <w:kern w:val="0"/>
          <w:highlight w:val="none"/>
        </w:rPr>
        <w:t>编号</w:t>
      </w:r>
      <w:r>
        <w:rPr>
          <w:rFonts w:hint="eastAsia" w:ascii="宋体" w:hAnsi="宋体" w:cs="宋体"/>
          <w:b/>
          <w:bCs/>
          <w:color w:val="auto"/>
          <w:kern w:val="0"/>
          <w:szCs w:val="24"/>
          <w:highlight w:val="none"/>
        </w:rPr>
        <w:t xml:space="preserve"> </w:t>
      </w:r>
      <w:r>
        <w:rPr>
          <w:rFonts w:hint="eastAsia" w:ascii="宋体" w:hAnsi="宋体" w:cs="宋体"/>
          <w:b/>
          <w:bCs/>
          <w:color w:val="auto"/>
          <w:kern w:val="0"/>
          <w:szCs w:val="24"/>
          <w:highlight w:val="none"/>
          <w:lang w:eastAsia="zh-CN"/>
        </w:rPr>
        <w:t>JSZC-320585-JZCG-D2025-0129</w:t>
      </w:r>
      <w:r>
        <w:rPr>
          <w:rFonts w:hint="eastAsia" w:ascii="宋体" w:hAnsi="宋体" w:cs="宋体"/>
          <w:color w:val="auto"/>
          <w:kern w:val="0"/>
          <w:highlight w:val="none"/>
        </w:rPr>
        <w:t>）的招标结果，签订本合同。</w:t>
      </w:r>
    </w:p>
    <w:p w14:paraId="7718C5BC">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第一条</w:t>
      </w:r>
      <w:r>
        <w:rPr>
          <w:rFonts w:ascii="宋体" w:hAnsi="宋体" w:cs="宋体"/>
          <w:b/>
          <w:color w:val="auto"/>
          <w:kern w:val="0"/>
          <w:highlight w:val="none"/>
        </w:rPr>
        <w:t xml:space="preserve"> </w:t>
      </w:r>
      <w:r>
        <w:rPr>
          <w:rFonts w:hint="eastAsia" w:ascii="宋体" w:hAnsi="宋体" w:cs="宋体"/>
          <w:b/>
          <w:color w:val="auto"/>
          <w:kern w:val="0"/>
          <w:highlight w:val="none"/>
        </w:rPr>
        <w:t>服务范围</w:t>
      </w:r>
    </w:p>
    <w:p w14:paraId="3973A1BD">
      <w:pPr>
        <w:widowControl/>
        <w:spacing w:line="460" w:lineRule="atLeast"/>
        <w:ind w:left="420" w:firstLine="480"/>
        <w:rPr>
          <w:rFonts w:ascii="Arial" w:hAnsi="Arial" w:cs="Times New Roman"/>
          <w:color w:val="auto"/>
          <w:kern w:val="0"/>
          <w:sz w:val="22"/>
          <w:highlight w:val="none"/>
        </w:rPr>
      </w:pPr>
      <w:r>
        <w:rPr>
          <w:rFonts w:ascii="宋体" w:hAnsi="宋体" w:cs="宋体"/>
          <w:color w:val="auto"/>
          <w:kern w:val="0"/>
          <w:highlight w:val="none"/>
        </w:rPr>
        <w:t> </w:t>
      </w:r>
      <w:r>
        <w:rPr>
          <w:rFonts w:hint="eastAsia" w:ascii="宋体" w:hAnsi="宋体" w:cs="宋体"/>
          <w:color w:val="auto"/>
          <w:kern w:val="0"/>
          <w:highlight w:val="none"/>
        </w:rPr>
        <w:t>甲方聘请乙方提供以下服务：</w:t>
      </w:r>
    </w:p>
    <w:p w14:paraId="38A94C56">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w:t>
      </w:r>
      <w:r>
        <w:rPr>
          <w:rFonts w:ascii="宋体" w:hAnsi="宋体" w:cs="宋体"/>
          <w:color w:val="auto"/>
          <w:kern w:val="0"/>
          <w:highlight w:val="none"/>
        </w:rPr>
        <w:t>1</w:t>
      </w:r>
      <w:r>
        <w:rPr>
          <w:rFonts w:hint="eastAsia" w:ascii="宋体" w:hAnsi="宋体" w:cs="宋体"/>
          <w:color w:val="auto"/>
          <w:kern w:val="0"/>
          <w:highlight w:val="none"/>
        </w:rPr>
        <w:t>）本合同项下的服务指：</w:t>
      </w:r>
    </w:p>
    <w:p w14:paraId="5925B505">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w:t>
      </w:r>
      <w:r>
        <w:rPr>
          <w:rFonts w:ascii="宋体" w:hAnsi="宋体" w:cs="宋体"/>
          <w:color w:val="auto"/>
          <w:kern w:val="0"/>
          <w:highlight w:val="none"/>
        </w:rPr>
        <w:t>2</w:t>
      </w:r>
      <w:r>
        <w:rPr>
          <w:rFonts w:hint="eastAsia" w:ascii="宋体" w:hAnsi="宋体" w:cs="宋体"/>
          <w:color w:val="auto"/>
          <w:kern w:val="0"/>
          <w:highlight w:val="none"/>
        </w:rPr>
        <w:t>）服务内容：</w:t>
      </w:r>
    </w:p>
    <w:p w14:paraId="66BBE71A">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w:t>
      </w:r>
      <w:r>
        <w:rPr>
          <w:rFonts w:ascii="宋体" w:hAnsi="宋体" w:cs="宋体"/>
          <w:color w:val="auto"/>
          <w:kern w:val="0"/>
          <w:highlight w:val="none"/>
        </w:rPr>
        <w:t>3</w:t>
      </w:r>
      <w:r>
        <w:rPr>
          <w:rFonts w:hint="eastAsia" w:ascii="宋体" w:hAnsi="宋体" w:cs="宋体"/>
          <w:color w:val="auto"/>
          <w:kern w:val="0"/>
          <w:highlight w:val="none"/>
        </w:rPr>
        <w:t>）服务标准：</w:t>
      </w:r>
    </w:p>
    <w:p w14:paraId="0587E1AB">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w:t>
      </w:r>
      <w:r>
        <w:rPr>
          <w:rFonts w:ascii="宋体" w:hAnsi="宋体" w:cs="宋体"/>
          <w:color w:val="auto"/>
          <w:kern w:val="0"/>
          <w:highlight w:val="none"/>
        </w:rPr>
        <w:t>4</w:t>
      </w:r>
      <w:r>
        <w:rPr>
          <w:rFonts w:hint="eastAsia" w:ascii="宋体" w:hAnsi="宋体" w:cs="宋体"/>
          <w:color w:val="auto"/>
          <w:kern w:val="0"/>
          <w:highlight w:val="none"/>
        </w:rPr>
        <w:t>）交付时间、地点：甲方指定。</w:t>
      </w:r>
    </w:p>
    <w:p w14:paraId="03841113">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第二条</w:t>
      </w:r>
      <w:r>
        <w:rPr>
          <w:rFonts w:ascii="宋体" w:hAnsi="宋体" w:cs="宋体"/>
          <w:b/>
          <w:color w:val="auto"/>
          <w:kern w:val="0"/>
          <w:highlight w:val="none"/>
        </w:rPr>
        <w:t xml:space="preserve"> </w:t>
      </w:r>
      <w:r>
        <w:rPr>
          <w:rFonts w:hint="eastAsia" w:ascii="宋体" w:hAnsi="宋体" w:cs="宋体"/>
          <w:b/>
          <w:color w:val="auto"/>
          <w:kern w:val="0"/>
          <w:highlight w:val="none"/>
        </w:rPr>
        <w:t>组成本合同的有关文件</w:t>
      </w:r>
      <w:r>
        <w:rPr>
          <w:rFonts w:ascii="宋体" w:hAnsi="宋体" w:cs="宋体"/>
          <w:b/>
          <w:color w:val="auto"/>
          <w:kern w:val="0"/>
          <w:highlight w:val="none"/>
        </w:rPr>
        <w:t xml:space="preserve"> </w:t>
      </w:r>
    </w:p>
    <w:p w14:paraId="60430B2F">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下列与本次采购活动有关的文件及有关附件是本合同不可分割的组成部分，与本合同具有同等法律效力，这些文件包括但不限于：</w:t>
      </w:r>
    </w:p>
    <w:p w14:paraId="6DC5B5FC">
      <w:pPr>
        <w:widowControl/>
        <w:numPr>
          <w:ilvl w:val="0"/>
          <w:numId w:val="22"/>
        </w:numPr>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招标采购文件（</w:t>
      </w:r>
      <w:r>
        <w:rPr>
          <w:rFonts w:hint="eastAsia" w:ascii="宋体" w:hAnsi="宋体" w:cs="宋体"/>
          <w:b/>
          <w:color w:val="auto"/>
          <w:kern w:val="0"/>
          <w:highlight w:val="none"/>
        </w:rPr>
        <w:t xml:space="preserve">编号： </w:t>
      </w:r>
      <w:r>
        <w:rPr>
          <w:rFonts w:hint="eastAsia" w:ascii="宋体" w:hAnsi="宋体" w:cs="宋体"/>
          <w:b/>
          <w:color w:val="auto"/>
          <w:kern w:val="0"/>
          <w:highlight w:val="none"/>
          <w:lang w:eastAsia="zh-CN"/>
        </w:rPr>
        <w:t>JSZC-320585-JZCG-D2025-0129</w:t>
      </w:r>
      <w:r>
        <w:rPr>
          <w:rFonts w:hint="eastAsia" w:ascii="宋体" w:hAnsi="宋体" w:cs="宋体"/>
          <w:color w:val="auto"/>
          <w:kern w:val="0"/>
          <w:highlight w:val="none"/>
        </w:rPr>
        <w:t>）</w:t>
      </w:r>
    </w:p>
    <w:p w14:paraId="6E40B2E8">
      <w:pPr>
        <w:widowControl/>
        <w:numPr>
          <w:ilvl w:val="0"/>
          <w:numId w:val="22"/>
        </w:numPr>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乙方提供的投标文件和投标报价表；</w:t>
      </w:r>
    </w:p>
    <w:p w14:paraId="70463F7A">
      <w:pPr>
        <w:widowControl/>
        <w:numPr>
          <w:ilvl w:val="0"/>
          <w:numId w:val="22"/>
        </w:numPr>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乙方在投标过程中所作的其他承诺、声明、书面澄清等；</w:t>
      </w:r>
    </w:p>
    <w:p w14:paraId="66CE3236">
      <w:pPr>
        <w:widowControl/>
        <w:numPr>
          <w:ilvl w:val="0"/>
          <w:numId w:val="22"/>
        </w:numPr>
        <w:spacing w:line="460" w:lineRule="atLeast"/>
        <w:ind w:firstLine="480"/>
        <w:rPr>
          <w:rFonts w:ascii="Arial" w:hAnsi="Arial" w:cs="Times New Roman"/>
          <w:color w:val="auto"/>
          <w:kern w:val="0"/>
          <w:sz w:val="22"/>
          <w:highlight w:val="none"/>
          <w:lang w:eastAsia="en-US"/>
        </w:rPr>
      </w:pPr>
      <w:r>
        <w:rPr>
          <w:rFonts w:hint="eastAsia" w:ascii="宋体" w:hAnsi="宋体" w:cs="宋体"/>
          <w:color w:val="auto"/>
          <w:kern w:val="0"/>
          <w:highlight w:val="none"/>
          <w:lang w:eastAsia="en-US"/>
        </w:rPr>
        <w:t>中标通知书；</w:t>
      </w:r>
    </w:p>
    <w:p w14:paraId="73CAB9D9">
      <w:pPr>
        <w:widowControl/>
        <w:numPr>
          <w:ilvl w:val="0"/>
          <w:numId w:val="22"/>
        </w:numPr>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甲乙双方商定的其他文件等。</w:t>
      </w:r>
    </w:p>
    <w:p w14:paraId="477B13C9">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第三条</w:t>
      </w:r>
      <w:r>
        <w:rPr>
          <w:rFonts w:ascii="宋体" w:hAnsi="宋体" w:cs="宋体"/>
          <w:b/>
          <w:color w:val="auto"/>
          <w:kern w:val="0"/>
          <w:highlight w:val="none"/>
        </w:rPr>
        <w:t xml:space="preserve"> </w:t>
      </w:r>
      <w:r>
        <w:rPr>
          <w:rFonts w:hint="eastAsia" w:ascii="宋体" w:hAnsi="宋体" w:cs="宋体"/>
          <w:b/>
          <w:color w:val="auto"/>
          <w:kern w:val="0"/>
          <w:highlight w:val="none"/>
        </w:rPr>
        <w:t>合同总价款</w:t>
      </w:r>
      <w:r>
        <w:rPr>
          <w:rFonts w:ascii="宋体" w:hAnsi="宋体" w:cs="宋体"/>
          <w:b/>
          <w:color w:val="auto"/>
          <w:kern w:val="0"/>
          <w:highlight w:val="none"/>
        </w:rPr>
        <w:t xml:space="preserve"> </w:t>
      </w:r>
    </w:p>
    <w:p w14:paraId="280671CF">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合同价格按此次成交价格执行，合同总金额为人民币</w:t>
      </w:r>
      <w:r>
        <w:rPr>
          <w:rFonts w:ascii="宋体" w:hAnsi="宋体" w:cs="宋体"/>
          <w:color w:val="auto"/>
          <w:kern w:val="0"/>
          <w:highlight w:val="none"/>
        </w:rPr>
        <w:t>___________</w:t>
      </w:r>
      <w:r>
        <w:rPr>
          <w:rFonts w:hint="eastAsia" w:ascii="宋体" w:hAnsi="宋体" w:cs="宋体"/>
          <w:color w:val="auto"/>
          <w:kern w:val="0"/>
          <w:highlight w:val="none"/>
        </w:rPr>
        <w:t>（大写）人民币，小写：（￥：）元整。</w:t>
      </w:r>
    </w:p>
    <w:p w14:paraId="2E97980A">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7BA61102">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除非合同条款中另有规定，本合同执行期间合同总价款不变。</w:t>
      </w:r>
    </w:p>
    <w:p w14:paraId="663C73FB">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第四条</w:t>
      </w:r>
      <w:r>
        <w:rPr>
          <w:rFonts w:ascii="宋体" w:hAnsi="宋体" w:cs="宋体"/>
          <w:b/>
          <w:color w:val="auto"/>
          <w:kern w:val="0"/>
          <w:highlight w:val="none"/>
        </w:rPr>
        <w:t xml:space="preserve"> </w:t>
      </w:r>
      <w:r>
        <w:rPr>
          <w:rFonts w:hint="eastAsia" w:ascii="宋体" w:hAnsi="宋体" w:cs="宋体"/>
          <w:b/>
          <w:color w:val="auto"/>
          <w:kern w:val="0"/>
          <w:highlight w:val="none"/>
        </w:rPr>
        <w:t>合同款支付</w:t>
      </w:r>
    </w:p>
    <w:p w14:paraId="0CCE2144">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、本合同项下所有款项均以人民币支付。</w:t>
      </w:r>
    </w:p>
    <w:p w14:paraId="7C9A4DB8">
      <w:pPr>
        <w:widowControl/>
        <w:spacing w:line="460" w:lineRule="atLeast"/>
        <w:ind w:firstLine="480"/>
        <w:rPr>
          <w:rFonts w:hint="eastAsia" w:ascii="宋体" w:hAnsi="宋体" w:cs="宋体"/>
          <w:color w:val="auto"/>
          <w:kern w:val="0"/>
          <w:highlight w:val="none"/>
        </w:rPr>
      </w:pPr>
      <w:r>
        <w:rPr>
          <w:rFonts w:ascii="宋体" w:hAnsi="宋体" w:cs="宋体"/>
          <w:color w:val="auto"/>
          <w:kern w:val="0"/>
          <w:highlight w:val="none"/>
        </w:rPr>
        <w:t>2</w:t>
      </w:r>
      <w:r>
        <w:rPr>
          <w:rFonts w:hint="eastAsia" w:ascii="宋体" w:hAnsi="宋体" w:cs="宋体"/>
          <w:color w:val="auto"/>
          <w:kern w:val="0"/>
          <w:highlight w:val="none"/>
        </w:rPr>
        <w:t>、本合同项下的采购资金由甲方自行支付，乙方向甲方开具发票。</w:t>
      </w:r>
    </w:p>
    <w:p w14:paraId="2AAFC4FD">
      <w:pPr>
        <w:widowControl/>
        <w:spacing w:line="460" w:lineRule="atLeast"/>
        <w:ind w:firstLine="480"/>
        <w:rPr>
          <w:rFonts w:hint="eastAsia" w:ascii="宋体" w:hAnsi="宋体" w:cs="宋体"/>
          <w:color w:val="auto"/>
          <w:kern w:val="0"/>
          <w:highlight w:val="none"/>
        </w:rPr>
      </w:pPr>
      <w:r>
        <w:rPr>
          <w:rFonts w:ascii="宋体" w:hAnsi="宋体" w:cs="宋体"/>
          <w:color w:val="auto"/>
          <w:kern w:val="0"/>
          <w:highlight w:val="none"/>
        </w:rPr>
        <w:t>3</w:t>
      </w:r>
      <w:r>
        <w:rPr>
          <w:rFonts w:hint="eastAsia" w:ascii="宋体" w:hAnsi="宋体" w:cs="宋体"/>
          <w:color w:val="auto"/>
          <w:kern w:val="0"/>
          <w:highlight w:val="none"/>
        </w:rPr>
        <w:t>、根据现行税法对乙方征收的与本合同有关的一切税费均由乙方承担。</w:t>
      </w:r>
    </w:p>
    <w:p w14:paraId="6ED3FFC8">
      <w:pPr>
        <w:widowControl/>
        <w:spacing w:line="460" w:lineRule="atLeast"/>
        <w:ind w:firstLine="480"/>
        <w:rPr>
          <w:rFonts w:hint="eastAsia" w:ascii="宋体" w:hAnsi="宋体" w:cs="宋体"/>
          <w:color w:val="auto"/>
          <w:kern w:val="0"/>
          <w:highlight w:val="none"/>
        </w:rPr>
      </w:pPr>
      <w:r>
        <w:rPr>
          <w:rFonts w:ascii="宋体" w:hAnsi="宋体" w:cs="宋体"/>
          <w:color w:val="auto"/>
          <w:kern w:val="0"/>
          <w:highlight w:val="none"/>
        </w:rPr>
        <w:t>4</w:t>
      </w:r>
      <w:r>
        <w:rPr>
          <w:rFonts w:hint="eastAsia" w:ascii="宋体" w:hAnsi="宋体" w:cs="宋体"/>
          <w:color w:val="auto"/>
          <w:kern w:val="0"/>
          <w:highlight w:val="none"/>
        </w:rPr>
        <w:t>、付款步骤、方式：</w:t>
      </w:r>
    </w:p>
    <w:p w14:paraId="4FDE097B">
      <w:pPr>
        <w:spacing w:after="200" w:line="276" w:lineRule="auto"/>
        <w:ind w:firstLine="560"/>
        <w:rPr>
          <w:rFonts w:ascii="楷体_GB2312" w:hAnsi="Arial" w:eastAsia="楷体_GB2312" w:cs="Times New Roman"/>
          <w:color w:val="auto"/>
          <w:sz w:val="28"/>
          <w:highlight w:val="none"/>
        </w:rPr>
      </w:pPr>
    </w:p>
    <w:p w14:paraId="30B2FB0F">
      <w:pPr>
        <w:widowControl/>
        <w:spacing w:line="85"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第五条</w:t>
      </w:r>
      <w:r>
        <w:rPr>
          <w:rFonts w:ascii="宋体" w:hAnsi="宋体" w:cs="宋体"/>
          <w:b/>
          <w:color w:val="auto"/>
          <w:kern w:val="0"/>
          <w:highlight w:val="none"/>
        </w:rPr>
        <w:t xml:space="preserve"> </w:t>
      </w:r>
      <w:r>
        <w:rPr>
          <w:rFonts w:hint="eastAsia" w:ascii="宋体" w:hAnsi="宋体" w:cs="宋体"/>
          <w:b/>
          <w:color w:val="auto"/>
          <w:kern w:val="0"/>
          <w:highlight w:val="none"/>
        </w:rPr>
        <w:t>服务质量、成果要求</w:t>
      </w:r>
    </w:p>
    <w:p w14:paraId="785D6459">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、项目完成后甲方将组织专业人员进行项目的验收工作，如存在问题，乙方应进行改进，直至验收合格为止；</w:t>
      </w:r>
    </w:p>
    <w:p w14:paraId="16C357D1">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2</w:t>
      </w:r>
      <w:r>
        <w:rPr>
          <w:rFonts w:hint="eastAsia" w:ascii="宋体" w:hAnsi="宋体" w:cs="宋体"/>
          <w:color w:val="auto"/>
          <w:kern w:val="0"/>
          <w:highlight w:val="none"/>
        </w:rPr>
        <w:t>、验收标准</w:t>
      </w:r>
      <w:r>
        <w:rPr>
          <w:rFonts w:ascii="宋体" w:hAnsi="宋体" w:cs="宋体"/>
          <w:color w:val="auto"/>
          <w:kern w:val="0"/>
          <w:highlight w:val="none"/>
        </w:rPr>
        <w:t xml:space="preserve">: </w:t>
      </w:r>
      <w:r>
        <w:rPr>
          <w:rFonts w:hint="eastAsia" w:ascii="宋体" w:hAnsi="宋体" w:cs="宋体"/>
          <w:color w:val="auto"/>
          <w:kern w:val="0"/>
          <w:highlight w:val="none"/>
        </w:rPr>
        <w:t>按采购文件要求、乙方的投标承诺或国家相关标准。</w:t>
      </w:r>
    </w:p>
    <w:p w14:paraId="39F5BFE5">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第六条</w:t>
      </w:r>
      <w:r>
        <w:rPr>
          <w:rFonts w:ascii="宋体" w:hAnsi="宋体" w:cs="宋体"/>
          <w:b/>
          <w:color w:val="auto"/>
          <w:kern w:val="0"/>
          <w:highlight w:val="none"/>
        </w:rPr>
        <w:t xml:space="preserve"> </w:t>
      </w:r>
      <w:r>
        <w:rPr>
          <w:rFonts w:hint="eastAsia" w:ascii="宋体" w:hAnsi="宋体" w:cs="宋体"/>
          <w:b/>
          <w:color w:val="auto"/>
          <w:kern w:val="0"/>
          <w:highlight w:val="none"/>
        </w:rPr>
        <w:t>甲、乙双方权利义务</w:t>
      </w:r>
    </w:p>
    <w:p w14:paraId="7D2CBA40">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、甲方应当为保证项目服务的完成，给予乙方积极支持，为乙方提供项目实施的必要条件；</w:t>
      </w:r>
    </w:p>
    <w:p w14:paraId="523027C5">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2</w:t>
      </w:r>
      <w:r>
        <w:rPr>
          <w:rFonts w:hint="eastAsia" w:ascii="宋体" w:hAnsi="宋体" w:cs="宋体"/>
          <w:color w:val="auto"/>
          <w:kern w:val="0"/>
          <w:highlight w:val="none"/>
        </w:rPr>
        <w:t>、甲方应当按照本合同约定按时支付合同金额。</w:t>
      </w:r>
    </w:p>
    <w:p w14:paraId="15CA4342">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3</w:t>
      </w:r>
      <w:r>
        <w:rPr>
          <w:rFonts w:hint="eastAsia" w:ascii="宋体" w:hAnsi="宋体" w:cs="宋体"/>
          <w:color w:val="auto"/>
          <w:kern w:val="0"/>
          <w:highlight w:val="none"/>
        </w:rPr>
        <w:t>、乙方提交的服务成果未经甲方书面许可，不得向任何第三方泄露。</w:t>
      </w:r>
    </w:p>
    <w:p w14:paraId="3A845692">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4</w:t>
      </w:r>
      <w:r>
        <w:rPr>
          <w:rFonts w:hint="eastAsia" w:ascii="宋体" w:hAnsi="宋体" w:cs="宋体"/>
          <w:color w:val="auto"/>
          <w:kern w:val="0"/>
          <w:highlight w:val="none"/>
        </w:rPr>
        <w:t>、</w:t>
      </w:r>
      <w:r>
        <w:rPr>
          <w:rFonts w:ascii="宋体" w:hAnsi="宋体" w:cs="宋体"/>
          <w:color w:val="auto"/>
          <w:kern w:val="0"/>
          <w:highlight w:val="none"/>
        </w:rPr>
        <w:t xml:space="preserve"> </w:t>
      </w:r>
      <w:r>
        <w:rPr>
          <w:rFonts w:hint="eastAsia" w:ascii="宋体" w:hAnsi="宋体" w:cs="宋体"/>
          <w:color w:val="auto"/>
          <w:kern w:val="0"/>
          <w:highlight w:val="none"/>
        </w:rPr>
        <w:t>乙方提供必要的技术培训，协助甲方完成其他需要中标单位配合的服务。</w:t>
      </w:r>
    </w:p>
    <w:p w14:paraId="7A7140F2">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5</w:t>
      </w:r>
      <w:r>
        <w:rPr>
          <w:rFonts w:hint="eastAsia" w:ascii="宋体" w:hAnsi="宋体" w:cs="宋体"/>
          <w:color w:val="auto"/>
          <w:kern w:val="0"/>
          <w:highlight w:val="none"/>
        </w:rPr>
        <w:t>、乙方根据国家标准、行业标准和规范要求及标书规定的服务质量标准和有关要求，保质保量地完成服务工作。</w:t>
      </w:r>
    </w:p>
    <w:p w14:paraId="283E51B8">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第七条</w:t>
      </w:r>
      <w:r>
        <w:rPr>
          <w:rFonts w:ascii="宋体" w:hAnsi="宋体" w:cs="宋体"/>
          <w:b/>
          <w:color w:val="auto"/>
          <w:kern w:val="0"/>
          <w:highlight w:val="none"/>
        </w:rPr>
        <w:t xml:space="preserve"> </w:t>
      </w:r>
      <w:r>
        <w:rPr>
          <w:rFonts w:hint="eastAsia" w:ascii="宋体" w:hAnsi="宋体" w:cs="宋体"/>
          <w:b/>
          <w:color w:val="auto"/>
          <w:kern w:val="0"/>
          <w:highlight w:val="none"/>
        </w:rPr>
        <w:t>知识产权</w:t>
      </w:r>
    </w:p>
    <w:p w14:paraId="25916171">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、在合同履行过程中，由甲方向乙方提供的资料－－包括但不限于程序、文件、报告、说明、图表等均归甲方所有。</w:t>
      </w:r>
    </w:p>
    <w:p w14:paraId="2832190D">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2</w:t>
      </w:r>
      <w:r>
        <w:rPr>
          <w:rFonts w:hint="eastAsia" w:ascii="宋体" w:hAnsi="宋体" w:cs="宋体"/>
          <w:color w:val="auto"/>
          <w:kern w:val="0"/>
          <w:highlight w:val="none"/>
        </w:rPr>
        <w:t>、在合同履行完毕后，乙方依据本合同及本合同附件向甲方提供的任何程序、文件、报告、说明、图表等的知识产权均归甲方所有（但属于乙方或第三方的除外），乙方不得以任何形式使用或向第三方透露。</w:t>
      </w:r>
    </w:p>
    <w:p w14:paraId="6DF7891D">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第八条</w:t>
      </w:r>
      <w:r>
        <w:rPr>
          <w:rFonts w:ascii="宋体" w:hAnsi="宋体" w:cs="宋体"/>
          <w:b/>
          <w:color w:val="auto"/>
          <w:kern w:val="0"/>
          <w:highlight w:val="none"/>
        </w:rPr>
        <w:t xml:space="preserve"> </w:t>
      </w:r>
      <w:r>
        <w:rPr>
          <w:rFonts w:hint="eastAsia" w:ascii="宋体" w:hAnsi="宋体" w:cs="宋体"/>
          <w:b/>
          <w:color w:val="auto"/>
          <w:kern w:val="0"/>
          <w:highlight w:val="none"/>
        </w:rPr>
        <w:t>保密条款</w:t>
      </w:r>
    </w:p>
    <w:p w14:paraId="09B37B0D">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47DB69BC">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第九条</w:t>
      </w:r>
      <w:r>
        <w:rPr>
          <w:rFonts w:ascii="宋体" w:hAnsi="宋体" w:cs="宋体"/>
          <w:b/>
          <w:color w:val="auto"/>
          <w:kern w:val="0"/>
          <w:highlight w:val="none"/>
        </w:rPr>
        <w:t xml:space="preserve"> </w:t>
      </w:r>
      <w:r>
        <w:rPr>
          <w:rFonts w:hint="eastAsia" w:ascii="宋体" w:hAnsi="宋体" w:cs="宋体"/>
          <w:b/>
          <w:color w:val="auto"/>
          <w:kern w:val="0"/>
          <w:highlight w:val="none"/>
        </w:rPr>
        <w:t>风险责任</w:t>
      </w:r>
    </w:p>
    <w:p w14:paraId="4B38266A">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39D7EE4B">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第十条</w:t>
      </w:r>
      <w:r>
        <w:rPr>
          <w:rFonts w:ascii="宋体" w:hAnsi="宋体" w:cs="宋体"/>
          <w:b/>
          <w:color w:val="auto"/>
          <w:kern w:val="0"/>
          <w:highlight w:val="none"/>
        </w:rPr>
        <w:t xml:space="preserve"> </w:t>
      </w:r>
      <w:r>
        <w:rPr>
          <w:rFonts w:hint="eastAsia" w:ascii="宋体" w:hAnsi="宋体" w:cs="宋体"/>
          <w:b/>
          <w:color w:val="auto"/>
          <w:kern w:val="0"/>
          <w:highlight w:val="none"/>
        </w:rPr>
        <w:t>履约保证金（本项目不涉及）</w:t>
      </w:r>
    </w:p>
    <w:p w14:paraId="1D18D655">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、乙方应按招标文件的约定要求提供相应的履约保证金。</w:t>
      </w:r>
    </w:p>
    <w:p w14:paraId="4C58D12D">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2</w:t>
      </w:r>
      <w:r>
        <w:rPr>
          <w:rFonts w:hint="eastAsia" w:ascii="宋体" w:hAnsi="宋体" w:cs="宋体"/>
          <w:color w:val="auto"/>
          <w:kern w:val="0"/>
          <w:highlight w:val="none"/>
        </w:rPr>
        <w:t>、履约保证金的有效期为合同生效之日起至合同主要义务履行完毕止。</w:t>
      </w:r>
    </w:p>
    <w:p w14:paraId="2EA88B61">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3</w:t>
      </w:r>
      <w:r>
        <w:rPr>
          <w:rFonts w:hint="eastAsia" w:ascii="宋体" w:hAnsi="宋体" w:cs="宋体"/>
          <w:color w:val="auto"/>
          <w:kern w:val="0"/>
          <w:highlight w:val="none"/>
        </w:rPr>
        <w:t>、如乙方未能履行合同规定的义务，或因乙方责任应由乙方承担的赔偿未完成，甲方有权从履约保证金中取得补偿。</w:t>
      </w:r>
    </w:p>
    <w:p w14:paraId="36DC5E3F">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4</w:t>
      </w:r>
      <w:r>
        <w:rPr>
          <w:rFonts w:hint="eastAsia" w:ascii="宋体" w:hAnsi="宋体" w:cs="宋体"/>
          <w:color w:val="auto"/>
          <w:kern w:val="0"/>
          <w:highlight w:val="none"/>
        </w:rPr>
        <w:t>、履约保证金待合同主要义务全部履行完毕后全额退回（不计息）。</w:t>
      </w:r>
    </w:p>
    <w:p w14:paraId="790F744D">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第十一条</w:t>
      </w:r>
      <w:r>
        <w:rPr>
          <w:rFonts w:ascii="宋体" w:hAnsi="宋体" w:cs="宋体"/>
          <w:b/>
          <w:color w:val="auto"/>
          <w:kern w:val="0"/>
          <w:highlight w:val="none"/>
        </w:rPr>
        <w:t xml:space="preserve"> </w:t>
      </w:r>
      <w:r>
        <w:rPr>
          <w:rFonts w:hint="eastAsia" w:ascii="宋体" w:hAnsi="宋体" w:cs="宋体"/>
          <w:b/>
          <w:color w:val="auto"/>
          <w:kern w:val="0"/>
          <w:highlight w:val="none"/>
        </w:rPr>
        <w:t>合同的变更和终止</w:t>
      </w:r>
    </w:p>
    <w:p w14:paraId="1C02FCAF">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、本合同一经签订，甲乙双方不得擅自变更、中止或终止合同。</w:t>
      </w:r>
    </w:p>
    <w:p w14:paraId="63D305C4">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2</w:t>
      </w:r>
      <w:r>
        <w:rPr>
          <w:rFonts w:hint="eastAsia" w:ascii="宋体" w:hAnsi="宋体" w:cs="宋体"/>
          <w:color w:val="auto"/>
          <w:kern w:val="0"/>
          <w:highlight w:val="none"/>
        </w:rPr>
        <w:t>、除发生法律规定的不能预见、不能避免并不能克服的客观情况外，甲乙双方不得放弃或拒绝履行合同。乙方放弃或拒绝履行合同，保证金不予退还。</w:t>
      </w:r>
    </w:p>
    <w:p w14:paraId="0D8AE5FB">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第十二条</w:t>
      </w:r>
      <w:r>
        <w:rPr>
          <w:rFonts w:ascii="宋体" w:hAnsi="宋体" w:cs="宋体"/>
          <w:b/>
          <w:color w:val="auto"/>
          <w:kern w:val="0"/>
          <w:highlight w:val="none"/>
        </w:rPr>
        <w:t xml:space="preserve"> </w:t>
      </w:r>
      <w:r>
        <w:rPr>
          <w:rFonts w:hint="eastAsia" w:ascii="宋体" w:hAnsi="宋体" w:cs="宋体"/>
          <w:b/>
          <w:color w:val="auto"/>
          <w:kern w:val="0"/>
          <w:highlight w:val="none"/>
        </w:rPr>
        <w:t>合同的转让</w:t>
      </w:r>
    </w:p>
    <w:p w14:paraId="4EE3357B">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、乙方不得擅自部分或全部转让其应履行的合同义务。</w:t>
      </w:r>
      <w:r>
        <w:rPr>
          <w:rFonts w:ascii="宋体" w:hAnsi="宋体" w:cs="宋体"/>
          <w:color w:val="auto"/>
          <w:kern w:val="0"/>
          <w:highlight w:val="none"/>
        </w:rPr>
        <w:t xml:space="preserve">    </w:t>
      </w:r>
    </w:p>
    <w:p w14:paraId="5E2495A2">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2</w:t>
      </w:r>
      <w:r>
        <w:rPr>
          <w:rFonts w:hint="eastAsia" w:ascii="宋体" w:hAnsi="宋体" w:cs="宋体"/>
          <w:color w:val="auto"/>
          <w:kern w:val="0"/>
          <w:highlight w:val="none"/>
        </w:rPr>
        <w:t>、乙方在履行合同过程中，不得将服务项目委托给第三方。</w:t>
      </w:r>
    </w:p>
    <w:p w14:paraId="218F38E7">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第十三条</w:t>
      </w:r>
      <w:r>
        <w:rPr>
          <w:rFonts w:ascii="宋体" w:hAnsi="宋体" w:cs="宋体"/>
          <w:b/>
          <w:color w:val="auto"/>
          <w:kern w:val="0"/>
          <w:highlight w:val="none"/>
        </w:rPr>
        <w:t xml:space="preserve"> </w:t>
      </w:r>
      <w:r>
        <w:rPr>
          <w:rFonts w:hint="eastAsia" w:ascii="宋体" w:hAnsi="宋体" w:cs="宋体"/>
          <w:b/>
          <w:color w:val="auto"/>
          <w:kern w:val="0"/>
          <w:highlight w:val="none"/>
        </w:rPr>
        <w:t>违约责任</w:t>
      </w:r>
    </w:p>
    <w:p w14:paraId="2CF5B936">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、在合同生效后，甲方无理由要求终止服务的，应向乙方偿付合同总价款的</w:t>
      </w:r>
      <w:r>
        <w:rPr>
          <w:rFonts w:ascii="宋体" w:hAnsi="宋体" w:cs="宋体"/>
          <w:color w:val="auto"/>
          <w:kern w:val="0"/>
          <w:highlight w:val="none"/>
        </w:rPr>
        <w:t>5%</w:t>
      </w:r>
      <w:r>
        <w:rPr>
          <w:rFonts w:hint="eastAsia" w:ascii="宋体" w:hAnsi="宋体" w:cs="宋体"/>
          <w:color w:val="auto"/>
          <w:kern w:val="0"/>
          <w:highlight w:val="none"/>
        </w:rPr>
        <w:t>，作为违约金，违约金不足以补偿损失的，乙方有权要求甲方补足。</w:t>
      </w:r>
    </w:p>
    <w:p w14:paraId="49DAFE50">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2</w:t>
      </w:r>
      <w:r>
        <w:rPr>
          <w:rFonts w:hint="eastAsia" w:ascii="宋体" w:hAnsi="宋体" w:cs="宋体"/>
          <w:color w:val="auto"/>
          <w:kern w:val="0"/>
          <w:highlight w:val="none"/>
        </w:rPr>
        <w:t>、甲方逾期付款的，应按照逾期付款金额的每天万分之四支付逾期付款违约金。</w:t>
      </w:r>
    </w:p>
    <w:p w14:paraId="592890DF">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3</w:t>
      </w:r>
      <w:r>
        <w:rPr>
          <w:rFonts w:hint="eastAsia" w:ascii="宋体" w:hAnsi="宋体" w:cs="宋体"/>
          <w:color w:val="auto"/>
          <w:kern w:val="0"/>
          <w:highlight w:val="none"/>
        </w:rPr>
        <w:t>、乙方不能按时提供服务（逾期超过十五天视为不能服务），或服务不合格从而影响甲方按期正常使用的，甲方有权解除合同，乙方应向甲方偿付合同总价款</w:t>
      </w:r>
      <w:r>
        <w:rPr>
          <w:rFonts w:ascii="宋体" w:hAnsi="宋体" w:cs="宋体"/>
          <w:color w:val="auto"/>
          <w:kern w:val="0"/>
          <w:highlight w:val="none"/>
        </w:rPr>
        <w:t>5%</w:t>
      </w:r>
      <w:r>
        <w:rPr>
          <w:rFonts w:hint="eastAsia" w:ascii="宋体" w:hAnsi="宋体" w:cs="宋体"/>
          <w:color w:val="auto"/>
          <w:kern w:val="0"/>
          <w:highlight w:val="none"/>
        </w:rPr>
        <w:t>的违约金，违约金不足以补偿损失的甲方有权要求乙方补足。</w:t>
      </w:r>
    </w:p>
    <w:p w14:paraId="06E298E8">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4</w:t>
      </w:r>
      <w:r>
        <w:rPr>
          <w:rFonts w:hint="eastAsia" w:ascii="宋体" w:hAnsi="宋体" w:cs="宋体"/>
          <w:color w:val="auto"/>
          <w:kern w:val="0"/>
          <w:highlight w:val="none"/>
        </w:rPr>
        <w:t>、乙方项目组成员须按招标文件承诺人员配备，未经甲方同意不得擅自更换；如更换需向甲方支付赔偿金。</w:t>
      </w:r>
    </w:p>
    <w:p w14:paraId="19462FF5">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5</w:t>
      </w:r>
      <w:r>
        <w:rPr>
          <w:rFonts w:hint="eastAsia" w:ascii="宋体" w:hAnsi="宋体" w:cs="宋体"/>
          <w:color w:val="auto"/>
          <w:kern w:val="0"/>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03425F83">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6</w:t>
      </w:r>
      <w:r>
        <w:rPr>
          <w:rFonts w:hint="eastAsia" w:ascii="宋体" w:hAnsi="宋体" w:cs="宋体"/>
          <w:color w:val="auto"/>
          <w:kern w:val="0"/>
          <w:highlight w:val="none"/>
        </w:rPr>
        <w:t>、其他未尽事宜，以《民法典》和《政府采购法》等有关法律法规规定为准，无相关规定的，双方协商解决。</w:t>
      </w:r>
    </w:p>
    <w:p w14:paraId="2A4B2A98">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第十四条</w:t>
      </w:r>
      <w:r>
        <w:rPr>
          <w:rFonts w:ascii="宋体" w:hAnsi="宋体" w:cs="宋体"/>
          <w:b/>
          <w:color w:val="auto"/>
          <w:kern w:val="0"/>
          <w:highlight w:val="none"/>
        </w:rPr>
        <w:t xml:space="preserve"> </w:t>
      </w:r>
      <w:r>
        <w:rPr>
          <w:rFonts w:hint="eastAsia" w:ascii="宋体" w:hAnsi="宋体" w:cs="宋体"/>
          <w:b/>
          <w:color w:val="auto"/>
          <w:kern w:val="0"/>
          <w:highlight w:val="none"/>
        </w:rPr>
        <w:t>不可抗力</w:t>
      </w:r>
    </w:p>
    <w:p w14:paraId="4E7013D4">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甲、乙方中任何一方，因不可抗力不能按时或完全履行合同的</w:t>
      </w:r>
      <w:r>
        <w:rPr>
          <w:rFonts w:ascii="宋体" w:hAnsi="宋体" w:cs="宋体"/>
          <w:color w:val="auto"/>
          <w:kern w:val="0"/>
          <w:highlight w:val="none"/>
        </w:rPr>
        <w:t xml:space="preserve"> </w:t>
      </w:r>
      <w:r>
        <w:rPr>
          <w:rFonts w:hint="eastAsia" w:ascii="宋体" w:hAnsi="宋体" w:cs="宋体"/>
          <w:color w:val="auto"/>
          <w:kern w:val="0"/>
          <w:highlight w:val="none"/>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017F835B">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因合同一方迟延履行后发生不可抗力的，不能免除责任。</w:t>
      </w:r>
    </w:p>
    <w:p w14:paraId="2B2509EF">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第十五条</w:t>
      </w:r>
      <w:r>
        <w:rPr>
          <w:rFonts w:ascii="宋体" w:hAnsi="宋体" w:cs="宋体"/>
          <w:b/>
          <w:color w:val="auto"/>
          <w:kern w:val="0"/>
          <w:highlight w:val="none"/>
        </w:rPr>
        <w:t xml:space="preserve"> </w:t>
      </w:r>
      <w:r>
        <w:rPr>
          <w:rFonts w:hint="eastAsia" w:ascii="宋体" w:hAnsi="宋体" w:cs="宋体"/>
          <w:b/>
          <w:color w:val="auto"/>
          <w:kern w:val="0"/>
          <w:highlight w:val="none"/>
        </w:rPr>
        <w:t>索赔</w:t>
      </w:r>
    </w:p>
    <w:p w14:paraId="79B60347">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cs="宋体"/>
          <w:color w:val="auto"/>
          <w:kern w:val="0"/>
          <w:highlight w:val="none"/>
        </w:rPr>
        <w:t>(   )</w:t>
      </w:r>
      <w:r>
        <w:rPr>
          <w:rFonts w:hint="eastAsia" w:ascii="宋体" w:hAnsi="宋体" w:cs="宋体"/>
          <w:color w:val="auto"/>
          <w:kern w:val="0"/>
          <w:highlight w:val="none"/>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7E28E207">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第十六条</w:t>
      </w:r>
      <w:r>
        <w:rPr>
          <w:rFonts w:ascii="宋体" w:hAnsi="宋体" w:cs="宋体"/>
          <w:b/>
          <w:color w:val="auto"/>
          <w:kern w:val="0"/>
          <w:highlight w:val="none"/>
        </w:rPr>
        <w:t xml:space="preserve"> </w:t>
      </w:r>
      <w:r>
        <w:rPr>
          <w:rFonts w:hint="eastAsia" w:ascii="宋体" w:hAnsi="宋体" w:cs="宋体"/>
          <w:b/>
          <w:color w:val="auto"/>
          <w:kern w:val="0"/>
          <w:highlight w:val="none"/>
        </w:rPr>
        <w:t>争议的解决</w:t>
      </w:r>
    </w:p>
    <w:p w14:paraId="1D71EFAC">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、因服务的质量问题发生争议的，应当邀请国家认可的质量检测机构对服务项目质量进行鉴定。项目符合标准的，鉴定费由甲方承担；项目不符合质量标准的，鉴定费由乙方承担。</w:t>
      </w:r>
    </w:p>
    <w:p w14:paraId="5EFFCBE1">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2</w:t>
      </w:r>
      <w:r>
        <w:rPr>
          <w:rFonts w:hint="eastAsia" w:ascii="宋体" w:hAnsi="宋体" w:cs="宋体"/>
          <w:color w:val="auto"/>
          <w:kern w:val="0"/>
          <w:highlight w:val="none"/>
        </w:rPr>
        <w:t>、因履行本合同引起的或与本合同有关的争议，甲、乙双方应首先通过友好协商解决，如果协商不能解决争议，则向甲方所在地有管辖权的人民法院提起诉讼；</w:t>
      </w:r>
    </w:p>
    <w:p w14:paraId="159766A8">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3</w:t>
      </w:r>
      <w:r>
        <w:rPr>
          <w:rFonts w:hint="eastAsia" w:ascii="宋体" w:hAnsi="宋体" w:cs="宋体"/>
          <w:color w:val="auto"/>
          <w:kern w:val="0"/>
          <w:highlight w:val="none"/>
        </w:rPr>
        <w:t>、在法院审理和仲裁期间，除有争议部分外，本合同其他部分应继续履行。</w:t>
      </w:r>
    </w:p>
    <w:p w14:paraId="6AA8930F">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第十七条</w:t>
      </w:r>
      <w:r>
        <w:rPr>
          <w:rFonts w:ascii="宋体" w:hAnsi="宋体" w:cs="宋体"/>
          <w:b/>
          <w:color w:val="auto"/>
          <w:kern w:val="0"/>
          <w:highlight w:val="none"/>
        </w:rPr>
        <w:t xml:space="preserve"> </w:t>
      </w:r>
      <w:r>
        <w:rPr>
          <w:rFonts w:hint="eastAsia" w:ascii="宋体" w:hAnsi="宋体" w:cs="宋体"/>
          <w:b/>
          <w:color w:val="auto"/>
          <w:kern w:val="0"/>
          <w:highlight w:val="none"/>
        </w:rPr>
        <w:t>诚实信用</w:t>
      </w:r>
      <w:r>
        <w:rPr>
          <w:rFonts w:ascii="宋体" w:hAnsi="宋体" w:cs="宋体"/>
          <w:b/>
          <w:color w:val="auto"/>
          <w:kern w:val="0"/>
          <w:highlight w:val="none"/>
        </w:rPr>
        <w:t xml:space="preserve"> </w:t>
      </w:r>
    </w:p>
    <w:p w14:paraId="5BA0BACF">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乙方应诚实信用，严格按照招标文件要求和投标承诺履行合同，不向甲方进行商业贿赂或者提供不正当利益。</w:t>
      </w:r>
    </w:p>
    <w:p w14:paraId="293AA1D3">
      <w:pPr>
        <w:widowControl/>
        <w:spacing w:line="460" w:lineRule="atLeast"/>
        <w:ind w:firstLine="482"/>
        <w:rPr>
          <w:rFonts w:ascii="Arial" w:hAnsi="Arial" w:cs="Times New Roman"/>
          <w:color w:val="auto"/>
          <w:kern w:val="0"/>
          <w:sz w:val="22"/>
          <w:highlight w:val="none"/>
        </w:rPr>
      </w:pPr>
      <w:r>
        <w:rPr>
          <w:rFonts w:hint="eastAsia" w:ascii="宋体" w:hAnsi="宋体" w:cs="宋体"/>
          <w:b/>
          <w:color w:val="auto"/>
          <w:kern w:val="0"/>
          <w:highlight w:val="none"/>
        </w:rPr>
        <w:t>第十八条</w:t>
      </w:r>
      <w:r>
        <w:rPr>
          <w:rFonts w:ascii="宋体" w:hAnsi="宋体" w:cs="宋体"/>
          <w:b/>
          <w:color w:val="auto"/>
          <w:kern w:val="0"/>
          <w:highlight w:val="none"/>
        </w:rPr>
        <w:t xml:space="preserve"> </w:t>
      </w:r>
      <w:r>
        <w:rPr>
          <w:rFonts w:hint="eastAsia" w:ascii="宋体" w:hAnsi="宋体" w:cs="宋体"/>
          <w:b/>
          <w:color w:val="auto"/>
          <w:kern w:val="0"/>
          <w:highlight w:val="none"/>
        </w:rPr>
        <w:t>合同生效及其他</w:t>
      </w:r>
    </w:p>
    <w:p w14:paraId="3831F707">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1</w:t>
      </w:r>
      <w:r>
        <w:rPr>
          <w:rFonts w:hint="eastAsia" w:ascii="宋体" w:hAnsi="宋体" w:cs="宋体"/>
          <w:color w:val="auto"/>
          <w:kern w:val="0"/>
          <w:highlight w:val="none"/>
        </w:rPr>
        <w:t>、本合同自经甲乙双方授权代表签订并加盖公章后，自签订之日起生效。</w:t>
      </w:r>
    </w:p>
    <w:p w14:paraId="2790D900">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2</w:t>
      </w:r>
      <w:r>
        <w:rPr>
          <w:rFonts w:hint="eastAsia" w:ascii="宋体" w:hAnsi="宋体" w:cs="宋体"/>
          <w:color w:val="auto"/>
          <w:kern w:val="0"/>
          <w:highlight w:val="none"/>
        </w:rPr>
        <w:t>、本合同一式两份份，甲乙双方各执一份。</w:t>
      </w:r>
    </w:p>
    <w:p w14:paraId="68643ABE">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3</w:t>
      </w:r>
      <w:r>
        <w:rPr>
          <w:rFonts w:hint="eastAsia" w:ascii="宋体" w:hAnsi="宋体" w:cs="宋体"/>
          <w:color w:val="auto"/>
          <w:kern w:val="0"/>
          <w:highlight w:val="none"/>
        </w:rPr>
        <w:t>、本合同应按照中华人民共和国的现行法律进行解释。</w:t>
      </w:r>
    </w:p>
    <w:p w14:paraId="1C523F30">
      <w:pPr>
        <w:widowControl/>
        <w:spacing w:line="460" w:lineRule="atLeast"/>
        <w:ind w:firstLine="480"/>
        <w:rPr>
          <w:rFonts w:ascii="Arial" w:hAnsi="Arial" w:cs="Times New Roman"/>
          <w:color w:val="auto"/>
          <w:kern w:val="0"/>
          <w:sz w:val="22"/>
          <w:highlight w:val="none"/>
        </w:rPr>
      </w:pPr>
      <w:r>
        <w:rPr>
          <w:rFonts w:ascii="宋体" w:hAnsi="宋体" w:cs="宋体"/>
          <w:color w:val="auto"/>
          <w:kern w:val="0"/>
          <w:highlight w:val="none"/>
        </w:rPr>
        <w:t> </w:t>
      </w:r>
    </w:p>
    <w:p w14:paraId="47FDE722">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甲方（采购人）：（盖章）</w:t>
      </w:r>
      <w:r>
        <w:rPr>
          <w:rFonts w:ascii="宋体" w:hAnsi="宋体" w:cs="宋体"/>
          <w:color w:val="auto"/>
          <w:kern w:val="0"/>
          <w:highlight w:val="none"/>
        </w:rPr>
        <w:t xml:space="preserve">            </w:t>
      </w:r>
      <w:r>
        <w:rPr>
          <w:rFonts w:hint="eastAsia" w:ascii="宋体" w:hAnsi="宋体" w:cs="宋体"/>
          <w:color w:val="auto"/>
          <w:kern w:val="0"/>
          <w:highlight w:val="none"/>
        </w:rPr>
        <w:t>乙方（供应商）：（盖章）</w:t>
      </w:r>
    </w:p>
    <w:p w14:paraId="4F50E55B">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代表人：</w:t>
      </w:r>
      <w:r>
        <w:rPr>
          <w:rFonts w:ascii="宋体" w:hAnsi="宋体" w:cs="宋体"/>
          <w:color w:val="auto"/>
          <w:kern w:val="0"/>
          <w:highlight w:val="none"/>
        </w:rPr>
        <w:t>              </w:t>
      </w:r>
      <w:r>
        <w:rPr>
          <w:rFonts w:hint="eastAsia" w:ascii="宋体" w:hAnsi="宋体" w:cs="宋体"/>
          <w:color w:val="auto"/>
          <w:kern w:val="0"/>
          <w:highlight w:val="none"/>
        </w:rPr>
        <w:t>代表人：</w:t>
      </w:r>
    </w:p>
    <w:p w14:paraId="7C1DB76E">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电话：</w:t>
      </w:r>
      <w:r>
        <w:rPr>
          <w:rFonts w:ascii="宋体" w:hAnsi="宋体" w:cs="宋体"/>
          <w:color w:val="auto"/>
          <w:kern w:val="0"/>
          <w:highlight w:val="none"/>
        </w:rPr>
        <w:t>               </w:t>
      </w:r>
      <w:r>
        <w:rPr>
          <w:rFonts w:hint="eastAsia" w:ascii="宋体" w:hAnsi="宋体" w:cs="宋体"/>
          <w:color w:val="auto"/>
          <w:kern w:val="0"/>
          <w:highlight w:val="none"/>
        </w:rPr>
        <w:t>电话：</w:t>
      </w:r>
    </w:p>
    <w:p w14:paraId="5EAF053F">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开户银行：</w:t>
      </w:r>
      <w:r>
        <w:rPr>
          <w:rFonts w:ascii="宋体" w:hAnsi="宋体" w:cs="宋体"/>
          <w:color w:val="auto"/>
          <w:kern w:val="0"/>
          <w:highlight w:val="none"/>
        </w:rPr>
        <w:t xml:space="preserve">                          </w:t>
      </w:r>
      <w:r>
        <w:rPr>
          <w:rFonts w:hint="eastAsia" w:ascii="宋体" w:hAnsi="宋体" w:cs="宋体"/>
          <w:color w:val="auto"/>
          <w:kern w:val="0"/>
          <w:highlight w:val="none"/>
        </w:rPr>
        <w:t>开户银行：</w:t>
      </w:r>
    </w:p>
    <w:p w14:paraId="03E74826">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帐号：</w:t>
      </w:r>
      <w:r>
        <w:rPr>
          <w:rFonts w:ascii="宋体" w:hAnsi="宋体" w:cs="宋体"/>
          <w:color w:val="auto"/>
          <w:kern w:val="0"/>
          <w:highlight w:val="none"/>
        </w:rPr>
        <w:t xml:space="preserve">                              </w:t>
      </w:r>
      <w:r>
        <w:rPr>
          <w:rFonts w:hint="eastAsia" w:ascii="宋体" w:hAnsi="宋体" w:cs="宋体"/>
          <w:color w:val="auto"/>
          <w:kern w:val="0"/>
          <w:highlight w:val="none"/>
        </w:rPr>
        <w:t>帐号：</w:t>
      </w:r>
    </w:p>
    <w:p w14:paraId="09FD391E">
      <w:pPr>
        <w:widowControl/>
        <w:spacing w:line="460" w:lineRule="atLeast"/>
        <w:ind w:firstLine="480"/>
        <w:rPr>
          <w:rFonts w:ascii="Arial" w:hAnsi="Arial" w:cs="Times New Roman"/>
          <w:color w:val="auto"/>
          <w:kern w:val="0"/>
          <w:sz w:val="22"/>
          <w:highlight w:val="none"/>
        </w:rPr>
      </w:pPr>
      <w:r>
        <w:rPr>
          <w:rFonts w:hint="eastAsia" w:ascii="宋体" w:hAnsi="宋体" w:cs="宋体"/>
          <w:color w:val="auto"/>
          <w:kern w:val="0"/>
          <w:highlight w:val="none"/>
        </w:rPr>
        <w:t>日期：</w:t>
      </w:r>
      <w:r>
        <w:rPr>
          <w:rFonts w:ascii="宋体" w:hAnsi="宋体" w:cs="宋体"/>
          <w:color w:val="auto"/>
          <w:kern w:val="0"/>
          <w:highlight w:val="none"/>
        </w:rPr>
        <w:t xml:space="preserve"> </w:t>
      </w:r>
      <w:r>
        <w:rPr>
          <w:rFonts w:hint="eastAsia" w:ascii="宋体" w:hAnsi="宋体" w:cs="宋体"/>
          <w:color w:val="auto"/>
          <w:kern w:val="0"/>
          <w:highlight w:val="none"/>
        </w:rPr>
        <w:t>年</w:t>
      </w:r>
      <w:r>
        <w:rPr>
          <w:rFonts w:ascii="宋体" w:hAnsi="宋体" w:cs="宋体"/>
          <w:color w:val="auto"/>
          <w:kern w:val="0"/>
          <w:highlight w:val="none"/>
        </w:rPr>
        <w:t xml:space="preserve"> </w:t>
      </w:r>
      <w:r>
        <w:rPr>
          <w:rFonts w:hint="eastAsia" w:ascii="宋体" w:hAnsi="宋体" w:cs="宋体"/>
          <w:color w:val="auto"/>
          <w:kern w:val="0"/>
          <w:highlight w:val="none"/>
        </w:rPr>
        <w:t>月</w:t>
      </w:r>
      <w:r>
        <w:rPr>
          <w:rFonts w:ascii="宋体" w:hAnsi="宋体" w:cs="宋体"/>
          <w:color w:val="auto"/>
          <w:kern w:val="0"/>
          <w:highlight w:val="none"/>
        </w:rPr>
        <w:t xml:space="preserve"> </w:t>
      </w:r>
      <w:r>
        <w:rPr>
          <w:rFonts w:hint="eastAsia" w:ascii="宋体" w:hAnsi="宋体" w:cs="宋体"/>
          <w:color w:val="auto"/>
          <w:kern w:val="0"/>
          <w:highlight w:val="none"/>
        </w:rPr>
        <w:t>日</w:t>
      </w:r>
      <w:r>
        <w:rPr>
          <w:rFonts w:ascii="宋体" w:hAnsi="宋体" w:cs="宋体"/>
          <w:color w:val="auto"/>
          <w:kern w:val="0"/>
          <w:highlight w:val="none"/>
        </w:rPr>
        <w:t xml:space="preserve">                     </w:t>
      </w:r>
      <w:r>
        <w:rPr>
          <w:rFonts w:hint="eastAsia" w:ascii="宋体" w:hAnsi="宋体" w:cs="宋体"/>
          <w:color w:val="auto"/>
          <w:kern w:val="0"/>
          <w:highlight w:val="none"/>
        </w:rPr>
        <w:t>日期：</w:t>
      </w:r>
      <w:r>
        <w:rPr>
          <w:rFonts w:ascii="宋体" w:hAnsi="宋体" w:cs="宋体"/>
          <w:color w:val="auto"/>
          <w:kern w:val="0"/>
          <w:highlight w:val="none"/>
        </w:rPr>
        <w:t xml:space="preserve">   </w:t>
      </w:r>
      <w:r>
        <w:rPr>
          <w:rFonts w:hint="eastAsia" w:ascii="宋体" w:hAnsi="宋体" w:cs="宋体"/>
          <w:color w:val="auto"/>
          <w:kern w:val="0"/>
          <w:highlight w:val="none"/>
        </w:rPr>
        <w:t>年</w:t>
      </w:r>
      <w:r>
        <w:rPr>
          <w:rFonts w:ascii="宋体" w:hAnsi="宋体" w:cs="宋体"/>
          <w:color w:val="auto"/>
          <w:kern w:val="0"/>
          <w:highlight w:val="none"/>
        </w:rPr>
        <w:t xml:space="preserve">  </w:t>
      </w:r>
      <w:r>
        <w:rPr>
          <w:rFonts w:hint="eastAsia" w:ascii="宋体" w:hAnsi="宋体" w:cs="宋体"/>
          <w:color w:val="auto"/>
          <w:kern w:val="0"/>
          <w:highlight w:val="none"/>
        </w:rPr>
        <w:t>月</w:t>
      </w:r>
      <w:r>
        <w:rPr>
          <w:rFonts w:ascii="宋体" w:hAnsi="宋体" w:cs="宋体"/>
          <w:color w:val="auto"/>
          <w:kern w:val="0"/>
          <w:highlight w:val="none"/>
        </w:rPr>
        <w:t xml:space="preserve">   </w:t>
      </w:r>
      <w:r>
        <w:rPr>
          <w:rFonts w:hint="eastAsia" w:ascii="宋体" w:hAnsi="宋体" w:cs="宋体"/>
          <w:color w:val="auto"/>
          <w:kern w:val="0"/>
          <w:highlight w:val="none"/>
        </w:rPr>
        <w:t>日</w:t>
      </w:r>
    </w:p>
    <w:p w14:paraId="01BA0124">
      <w:pPr>
        <w:widowControl/>
        <w:spacing w:after="200" w:line="276" w:lineRule="auto"/>
        <w:ind w:firstLine="480"/>
        <w:jc w:val="left"/>
        <w:rPr>
          <w:rFonts w:eastAsia="Times New Roman" w:cs="Times New Roman"/>
          <w:color w:val="auto"/>
          <w:kern w:val="0"/>
          <w:highlight w:val="none"/>
        </w:rPr>
      </w:pPr>
      <w:r>
        <w:rPr>
          <w:rFonts w:eastAsia="Times New Roman" w:cs="Times New Roman"/>
          <w:color w:val="auto"/>
          <w:kern w:val="0"/>
          <w:highlight w:val="none"/>
        </w:rPr>
        <w:br w:type="page"/>
      </w:r>
    </w:p>
    <w:p w14:paraId="689A23EA">
      <w:pPr>
        <w:widowControl/>
        <w:pBdr>
          <w:top w:val="none" w:color="000000" w:sz="0" w:space="0"/>
          <w:left w:val="none" w:color="000000" w:sz="0" w:space="0"/>
          <w:bottom w:val="none" w:color="000000" w:sz="0" w:space="0"/>
          <w:right w:val="none" w:color="000000" w:sz="0" w:space="0"/>
        </w:pBdr>
        <w:spacing w:before="240" w:after="240" w:line="439" w:lineRule="atLeast"/>
        <w:ind w:firstLine="883"/>
        <w:jc w:val="center"/>
        <w:rPr>
          <w:rFonts w:ascii="Arial" w:hAnsi="Arial" w:eastAsia="Arial" w:cs="Times New Roman"/>
          <w:color w:val="auto"/>
          <w:kern w:val="0"/>
          <w:sz w:val="22"/>
          <w:highlight w:val="none"/>
        </w:rPr>
      </w:pPr>
      <w:r>
        <w:rPr>
          <w:rFonts w:ascii="宋体" w:hAnsi="宋体" w:cs="宋体"/>
          <w:b/>
          <w:color w:val="auto"/>
          <w:kern w:val="0"/>
          <w:sz w:val="44"/>
          <w:highlight w:val="none"/>
        </w:rPr>
        <w:t>第</w:t>
      </w:r>
      <w:r>
        <w:rPr>
          <w:rFonts w:hint="eastAsia" w:ascii="宋体" w:hAnsi="宋体" w:cs="宋体"/>
          <w:b/>
          <w:color w:val="auto"/>
          <w:kern w:val="0"/>
          <w:sz w:val="44"/>
          <w:highlight w:val="none"/>
        </w:rPr>
        <w:t>七</w:t>
      </w:r>
      <w:r>
        <w:rPr>
          <w:rFonts w:ascii="宋体" w:hAnsi="宋体" w:cs="宋体"/>
          <w:b/>
          <w:color w:val="auto"/>
          <w:kern w:val="0"/>
          <w:sz w:val="44"/>
          <w:highlight w:val="none"/>
        </w:rPr>
        <w:t xml:space="preserve">部分 </w:t>
      </w:r>
      <w:r>
        <w:rPr>
          <w:rFonts w:hint="eastAsia" w:ascii="宋体" w:hAnsi="宋体" w:cs="宋体"/>
          <w:b/>
          <w:color w:val="auto"/>
          <w:kern w:val="0"/>
          <w:sz w:val="44"/>
          <w:highlight w:val="none"/>
        </w:rPr>
        <w:t>响应文件格式</w:t>
      </w:r>
    </w:p>
    <w:p w14:paraId="72B4D0D6">
      <w:pPr>
        <w:widowControl/>
        <w:pBdr>
          <w:top w:val="none" w:color="000000" w:sz="0" w:space="0"/>
          <w:left w:val="none" w:color="000000" w:sz="0" w:space="0"/>
          <w:bottom w:val="none" w:color="000000" w:sz="0" w:space="0"/>
          <w:right w:val="none" w:color="000000" w:sz="0" w:space="0"/>
        </w:pBdr>
        <w:spacing w:line="380" w:lineRule="atLeast"/>
        <w:ind w:firstLine="482"/>
        <w:jc w:val="center"/>
        <w:rPr>
          <w:rFonts w:ascii="Arial" w:hAnsi="Arial" w:eastAsia="Arial" w:cs="Times New Roman"/>
          <w:color w:val="auto"/>
          <w:kern w:val="0"/>
          <w:sz w:val="22"/>
          <w:highlight w:val="none"/>
        </w:rPr>
      </w:pPr>
      <w:r>
        <w:rPr>
          <w:rFonts w:ascii="宋体" w:hAnsi="宋体" w:cs="宋体"/>
          <w:b/>
          <w:color w:val="auto"/>
          <w:kern w:val="0"/>
          <w:highlight w:val="none"/>
        </w:rPr>
        <w:t> </w:t>
      </w:r>
    </w:p>
    <w:p w14:paraId="390AC43F">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color w:val="auto"/>
          <w:kern w:val="0"/>
          <w:sz w:val="22"/>
          <w:highlight w:val="none"/>
        </w:rPr>
      </w:pPr>
      <w:r>
        <w:rPr>
          <w:rFonts w:ascii="宋体" w:hAnsi="宋体" w:cs="宋体"/>
          <w:color w:val="auto"/>
          <w:kern w:val="0"/>
          <w:highlight w:val="none"/>
        </w:rPr>
        <w:t> </w:t>
      </w:r>
    </w:p>
    <w:p w14:paraId="29D19C17">
      <w:pPr>
        <w:widowControl/>
        <w:pBdr>
          <w:top w:val="none" w:color="000000" w:sz="0" w:space="0"/>
          <w:left w:val="none" w:color="000000" w:sz="0" w:space="0"/>
          <w:bottom w:val="none" w:color="000000" w:sz="0" w:space="0"/>
          <w:right w:val="none" w:color="000000" w:sz="0" w:space="0"/>
        </w:pBdr>
        <w:spacing w:line="85" w:lineRule="atLeast"/>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说明：</w:t>
      </w:r>
    </w:p>
    <w:p w14:paraId="204A3A9C">
      <w:pPr>
        <w:widowControl/>
        <w:pBdr>
          <w:top w:val="none" w:color="000000" w:sz="0" w:space="0"/>
          <w:left w:val="none" w:color="000000" w:sz="0" w:space="0"/>
          <w:bottom w:val="none" w:color="000000" w:sz="0" w:space="0"/>
          <w:right w:val="none" w:color="000000" w:sz="0" w:space="0"/>
        </w:pBdr>
        <w:spacing w:line="85" w:lineRule="atLeast"/>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对本章所有的响应书格式，响应方可根据自身情况进行补充和修改，但补充和修改不得造成与本格式内容有实质性的违背。</w:t>
      </w:r>
    </w:p>
    <w:p w14:paraId="6F71E313">
      <w:pPr>
        <w:widowControl/>
        <w:pBdr>
          <w:top w:val="none" w:color="000000" w:sz="0" w:space="0"/>
          <w:left w:val="none" w:color="000000" w:sz="0" w:space="0"/>
          <w:bottom w:val="none" w:color="000000" w:sz="0" w:space="0"/>
          <w:right w:val="none" w:color="000000" w:sz="0" w:space="0"/>
        </w:pBdr>
        <w:spacing w:line="276" w:lineRule="auto"/>
        <w:ind w:firstLine="440"/>
        <w:jc w:val="left"/>
        <w:rPr>
          <w:rFonts w:ascii="Arial" w:hAnsi="Arial" w:eastAsia="Arial" w:cs="Times New Roman"/>
          <w:color w:val="auto"/>
          <w:kern w:val="0"/>
          <w:sz w:val="22"/>
          <w:highlight w:val="none"/>
        </w:rPr>
      </w:pPr>
      <w:r>
        <w:rPr>
          <w:rFonts w:ascii="Arial" w:hAnsi="Arial" w:eastAsia="Arial" w:cs="Times New Roman"/>
          <w:color w:val="auto"/>
          <w:kern w:val="0"/>
          <w:sz w:val="22"/>
          <w:highlight w:val="none"/>
        </w:rPr>
        <w:br w:type="page" w:clear="all"/>
      </w:r>
    </w:p>
    <w:p w14:paraId="3CD17D96">
      <w:pPr>
        <w:overflowPunct w:val="0"/>
        <w:spacing w:after="200"/>
        <w:ind w:firstLine="643"/>
        <w:rPr>
          <w:rFonts w:ascii="宋体" w:hAnsi="宋体" w:eastAsia="Arial" w:cs="Times New Roman"/>
          <w:b/>
          <w:color w:val="auto"/>
          <w:sz w:val="28"/>
          <w:szCs w:val="28"/>
          <w:highlight w:val="none"/>
        </w:rPr>
      </w:pPr>
      <w:r>
        <w:rPr>
          <w:rFonts w:hint="eastAsia" w:ascii="宋体" w:hAnsi="宋体" w:eastAsia="Arial" w:cs="Times New Roman"/>
          <w:b/>
          <w:color w:val="auto"/>
          <w:sz w:val="32"/>
          <w:szCs w:val="32"/>
          <w:highlight w:val="none"/>
        </w:rPr>
        <w:t>1、</w:t>
      </w:r>
      <w:r>
        <w:rPr>
          <w:rFonts w:hint="eastAsia" w:ascii="宋体" w:hAnsi="宋体" w:eastAsia="Arial" w:cs="Times New Roman"/>
          <w:b/>
          <w:color w:val="auto"/>
          <w:sz w:val="28"/>
          <w:szCs w:val="28"/>
          <w:highlight w:val="none"/>
        </w:rPr>
        <w:t>关于资格文件的声明函</w:t>
      </w:r>
    </w:p>
    <w:p w14:paraId="182DDFE3">
      <w:pPr>
        <w:overflowPunct w:val="0"/>
        <w:spacing w:after="200" w:line="276" w:lineRule="auto"/>
        <w:ind w:left="1260" w:firstLine="600"/>
        <w:rPr>
          <w:rFonts w:ascii="宋体" w:hAnsi="宋体" w:eastAsia="Arial" w:cs="Times New Roman"/>
          <w:color w:val="auto"/>
          <w:sz w:val="30"/>
          <w:szCs w:val="30"/>
          <w:highlight w:val="none"/>
        </w:rPr>
      </w:pPr>
    </w:p>
    <w:p w14:paraId="50692D23">
      <w:pPr>
        <w:overflowPunct w:val="0"/>
        <w:spacing w:after="200" w:line="276" w:lineRule="auto"/>
        <w:ind w:left="1260" w:firstLine="600"/>
        <w:rPr>
          <w:rFonts w:ascii="宋体" w:hAnsi="宋体" w:eastAsia="Arial" w:cs="Times New Roman"/>
          <w:color w:val="auto"/>
          <w:sz w:val="30"/>
          <w:szCs w:val="30"/>
          <w:highlight w:val="none"/>
        </w:rPr>
      </w:pPr>
    </w:p>
    <w:p w14:paraId="695C9BA5">
      <w:pPr>
        <w:overflowPunct w:val="0"/>
        <w:spacing w:after="200" w:line="276" w:lineRule="auto"/>
        <w:ind w:left="1440" w:leftChars="600" w:firstLine="1770" w:firstLineChars="590"/>
        <w:rPr>
          <w:rFonts w:ascii="宋体" w:hAnsi="宋体" w:eastAsia="Arial" w:cs="Times New Roman"/>
          <w:color w:val="auto"/>
          <w:sz w:val="30"/>
          <w:szCs w:val="30"/>
          <w:highlight w:val="none"/>
        </w:rPr>
      </w:pPr>
      <w:r>
        <w:rPr>
          <w:rFonts w:hint="eastAsia" w:ascii="宋体" w:hAnsi="宋体" w:eastAsia="Arial" w:cs="Times New Roman"/>
          <w:color w:val="auto"/>
          <w:sz w:val="30"/>
          <w:szCs w:val="30"/>
          <w:highlight w:val="none"/>
        </w:rPr>
        <w:t>关于资格文件的声明函</w:t>
      </w:r>
    </w:p>
    <w:p w14:paraId="4B547862">
      <w:pPr>
        <w:overflowPunct w:val="0"/>
        <w:spacing w:after="200" w:line="276" w:lineRule="auto"/>
        <w:ind w:left="1260" w:firstLine="440"/>
        <w:jc w:val="center"/>
        <w:rPr>
          <w:rFonts w:ascii="宋体" w:hAnsi="宋体" w:eastAsia="Arial" w:cs="Times New Roman"/>
          <w:color w:val="auto"/>
          <w:sz w:val="22"/>
          <w:szCs w:val="24"/>
          <w:highlight w:val="none"/>
        </w:rPr>
      </w:pPr>
    </w:p>
    <w:p w14:paraId="68F1AA72">
      <w:pPr>
        <w:overflowPunct w:val="0"/>
        <w:spacing w:after="200" w:line="500" w:lineRule="exact"/>
        <w:ind w:firstLine="480"/>
        <w:rPr>
          <w:rFonts w:hint="eastAsia" w:ascii="宋体" w:hAnsi="宋体" w:cs="宋体"/>
          <w:color w:val="auto"/>
          <w:szCs w:val="24"/>
          <w:highlight w:val="none"/>
        </w:rPr>
      </w:pPr>
      <w:r>
        <w:rPr>
          <w:rFonts w:hint="eastAsia" w:ascii="宋体" w:hAnsi="宋体" w:cs="宋体"/>
          <w:color w:val="auto"/>
          <w:szCs w:val="24"/>
          <w:highlight w:val="none"/>
          <w:u w:val="single"/>
        </w:rPr>
        <w:t xml:space="preserve">苏州市公共资源交易中心太仓分中心  </w:t>
      </w:r>
      <w:r>
        <w:rPr>
          <w:rFonts w:hint="eastAsia" w:ascii="宋体" w:hAnsi="宋体" w:cs="宋体"/>
          <w:color w:val="auto"/>
          <w:szCs w:val="24"/>
          <w:highlight w:val="none"/>
        </w:rPr>
        <w:t>：</w:t>
      </w:r>
    </w:p>
    <w:p w14:paraId="6FA4C23C">
      <w:pPr>
        <w:overflowPunct w:val="0"/>
        <w:spacing w:after="200" w:line="500" w:lineRule="exact"/>
        <w:ind w:right="509" w:rightChars="212" w:firstLine="480"/>
        <w:rPr>
          <w:rFonts w:hint="eastAsia" w:ascii="宋体" w:hAnsi="宋体" w:cs="宋体"/>
          <w:color w:val="auto"/>
          <w:szCs w:val="24"/>
          <w:highlight w:val="none"/>
        </w:rPr>
      </w:pPr>
      <w:r>
        <w:rPr>
          <w:rFonts w:hint="eastAsia" w:ascii="宋体" w:hAnsi="宋体" w:cs="宋体"/>
          <w:color w:val="auto"/>
          <w:szCs w:val="24"/>
          <w:highlight w:val="none"/>
        </w:rPr>
        <w:t>本公司愿就由贵单位组织实施的编号为</w:t>
      </w:r>
      <w:r>
        <w:rPr>
          <w:rFonts w:hint="eastAsia" w:ascii="宋体" w:hAnsi="宋体" w:cs="宋体"/>
          <w:b/>
          <w:color w:val="auto"/>
          <w:szCs w:val="24"/>
          <w:highlight w:val="none"/>
          <w:u w:val="single"/>
          <w:lang w:eastAsia="zh-CN"/>
        </w:rPr>
        <w:t>JSZC-320585-JZCG-D2025-0129</w:t>
      </w:r>
      <w:r>
        <w:rPr>
          <w:rFonts w:hint="eastAsia" w:ascii="宋体" w:hAnsi="宋体" w:cs="宋体"/>
          <w:color w:val="auto"/>
          <w:szCs w:val="24"/>
          <w:highlight w:val="none"/>
        </w:rPr>
        <w:t>号的招标活动进行投标。本公司所提交的投标文件中所有关于投标资格的文件、证明和陈述均是真实的、准确的。若与真实情况不符，本公司愿意承担由此而产生的一切后果。</w:t>
      </w:r>
    </w:p>
    <w:p w14:paraId="67A2162B">
      <w:pPr>
        <w:overflowPunct w:val="0"/>
        <w:spacing w:after="200" w:line="500" w:lineRule="exact"/>
        <w:ind w:left="1259" w:firstLine="480"/>
        <w:rPr>
          <w:rFonts w:hint="eastAsia" w:ascii="宋体" w:hAnsi="宋体" w:cs="宋体"/>
          <w:color w:val="auto"/>
          <w:szCs w:val="24"/>
          <w:highlight w:val="none"/>
        </w:rPr>
      </w:pPr>
    </w:p>
    <w:p w14:paraId="50633F35">
      <w:pPr>
        <w:overflowPunct w:val="0"/>
        <w:spacing w:after="200" w:line="500" w:lineRule="exact"/>
        <w:ind w:left="1259" w:firstLine="480"/>
        <w:rPr>
          <w:rFonts w:hint="eastAsia" w:ascii="宋体" w:hAnsi="宋体" w:cs="宋体"/>
          <w:color w:val="auto"/>
          <w:szCs w:val="24"/>
          <w:highlight w:val="none"/>
        </w:rPr>
      </w:pPr>
    </w:p>
    <w:p w14:paraId="530764E1">
      <w:pPr>
        <w:overflowPunct w:val="0"/>
        <w:spacing w:after="200" w:line="50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响应单位（单位盖章）：</w:t>
      </w:r>
    </w:p>
    <w:p w14:paraId="427A420C">
      <w:pPr>
        <w:overflowPunct w:val="0"/>
        <w:spacing w:after="200" w:line="50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法定代表人或授权代理人（签字或盖章）：</w:t>
      </w:r>
    </w:p>
    <w:p w14:paraId="2035BC50">
      <w:pPr>
        <w:overflowPunct w:val="0"/>
        <w:spacing w:after="200" w:line="50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响应日期：    年  月</w:t>
      </w:r>
      <w:r>
        <w:rPr>
          <w:rFonts w:hint="eastAsia" w:ascii="宋体" w:hAnsi="宋体" w:cs="宋体"/>
          <w:color w:val="auto"/>
          <w:szCs w:val="24"/>
          <w:highlight w:val="none"/>
        </w:rPr>
        <w:tab/>
      </w:r>
      <w:r>
        <w:rPr>
          <w:rFonts w:hint="eastAsia" w:ascii="宋体" w:hAnsi="宋体" w:cs="宋体"/>
          <w:color w:val="auto"/>
          <w:szCs w:val="24"/>
          <w:highlight w:val="none"/>
        </w:rPr>
        <w:t xml:space="preserve"> 日</w:t>
      </w:r>
    </w:p>
    <w:p w14:paraId="52556F84">
      <w:pPr>
        <w:widowControl/>
        <w:spacing w:after="200" w:line="276" w:lineRule="auto"/>
        <w:ind w:firstLine="440"/>
        <w:jc w:val="left"/>
        <w:rPr>
          <w:rFonts w:ascii="宋体" w:hAnsi="宋体" w:eastAsia="Arial" w:cs="Times New Roman"/>
          <w:color w:val="auto"/>
          <w:kern w:val="0"/>
          <w:sz w:val="22"/>
          <w:szCs w:val="24"/>
          <w:highlight w:val="none"/>
        </w:rPr>
      </w:pPr>
    </w:p>
    <w:p w14:paraId="3D5C9B35">
      <w:pPr>
        <w:widowControl/>
        <w:spacing w:after="200" w:line="276" w:lineRule="auto"/>
        <w:ind w:firstLine="440"/>
        <w:jc w:val="left"/>
        <w:rPr>
          <w:rFonts w:ascii="宋体" w:hAnsi="宋体" w:eastAsia="Arial" w:cs="Times New Roman"/>
          <w:color w:val="auto"/>
          <w:kern w:val="0"/>
          <w:sz w:val="22"/>
          <w:szCs w:val="24"/>
          <w:highlight w:val="none"/>
        </w:rPr>
      </w:pPr>
    </w:p>
    <w:p w14:paraId="4771B81D">
      <w:pPr>
        <w:widowControl/>
        <w:spacing w:after="200" w:line="276" w:lineRule="auto"/>
        <w:ind w:firstLine="440"/>
        <w:jc w:val="left"/>
        <w:rPr>
          <w:rFonts w:ascii="宋体" w:hAnsi="宋体" w:eastAsia="Arial" w:cs="Times New Roman"/>
          <w:color w:val="auto"/>
          <w:kern w:val="0"/>
          <w:sz w:val="22"/>
          <w:szCs w:val="24"/>
          <w:highlight w:val="none"/>
        </w:rPr>
      </w:pPr>
    </w:p>
    <w:p w14:paraId="49CE87CC">
      <w:pPr>
        <w:widowControl/>
        <w:spacing w:after="200" w:line="276" w:lineRule="auto"/>
        <w:ind w:firstLine="440"/>
        <w:jc w:val="left"/>
        <w:rPr>
          <w:rFonts w:ascii="宋体" w:hAnsi="宋体" w:eastAsia="Arial" w:cs="Times New Roman"/>
          <w:color w:val="auto"/>
          <w:kern w:val="0"/>
          <w:sz w:val="22"/>
          <w:szCs w:val="24"/>
          <w:highlight w:val="none"/>
        </w:rPr>
      </w:pPr>
    </w:p>
    <w:p w14:paraId="7B0FAC3E">
      <w:pPr>
        <w:widowControl/>
        <w:spacing w:after="200" w:line="276" w:lineRule="auto"/>
        <w:ind w:firstLine="440"/>
        <w:jc w:val="left"/>
        <w:rPr>
          <w:rFonts w:ascii="宋体" w:hAnsi="宋体" w:eastAsia="Arial" w:cs="Times New Roman"/>
          <w:color w:val="auto"/>
          <w:kern w:val="0"/>
          <w:sz w:val="22"/>
          <w:szCs w:val="24"/>
          <w:highlight w:val="none"/>
        </w:rPr>
      </w:pPr>
    </w:p>
    <w:p w14:paraId="07405E81">
      <w:pPr>
        <w:widowControl/>
        <w:spacing w:after="200" w:line="276" w:lineRule="auto"/>
        <w:ind w:firstLine="440"/>
        <w:jc w:val="left"/>
        <w:rPr>
          <w:rFonts w:ascii="宋体" w:hAnsi="宋体" w:eastAsia="Arial" w:cs="Times New Roman"/>
          <w:color w:val="auto"/>
          <w:kern w:val="0"/>
          <w:sz w:val="22"/>
          <w:szCs w:val="24"/>
          <w:highlight w:val="none"/>
        </w:rPr>
      </w:pPr>
    </w:p>
    <w:p w14:paraId="3EA9D893">
      <w:pPr>
        <w:widowControl/>
        <w:spacing w:after="200" w:line="276" w:lineRule="auto"/>
        <w:ind w:firstLine="440"/>
        <w:jc w:val="left"/>
        <w:rPr>
          <w:rFonts w:ascii="宋体" w:hAnsi="宋体" w:eastAsia="Arial" w:cs="Times New Roman"/>
          <w:color w:val="auto"/>
          <w:kern w:val="0"/>
          <w:sz w:val="22"/>
          <w:szCs w:val="24"/>
          <w:highlight w:val="none"/>
        </w:rPr>
      </w:pPr>
    </w:p>
    <w:p w14:paraId="0277F4D0">
      <w:pPr>
        <w:widowControl/>
        <w:adjustRightInd w:val="0"/>
        <w:spacing w:after="200" w:line="276" w:lineRule="auto"/>
        <w:ind w:firstLine="562"/>
        <w:jc w:val="left"/>
        <w:textAlignment w:val="baseline"/>
        <w:rPr>
          <w:rFonts w:ascii="宋体" w:hAnsi="宋体" w:eastAsia="Arial" w:cs="Times New Roman"/>
          <w:b/>
          <w:color w:val="auto"/>
          <w:kern w:val="0"/>
          <w:sz w:val="28"/>
          <w:szCs w:val="32"/>
          <w:highlight w:val="none"/>
        </w:rPr>
      </w:pPr>
      <w:r>
        <w:rPr>
          <w:rFonts w:hint="eastAsia" w:ascii="宋体" w:hAnsi="宋体" w:eastAsia="Arial" w:cs="Times New Roman"/>
          <w:b/>
          <w:color w:val="auto"/>
          <w:kern w:val="0"/>
          <w:sz w:val="28"/>
          <w:szCs w:val="32"/>
          <w:highlight w:val="none"/>
        </w:rPr>
        <w:t>2、响应承诺函</w:t>
      </w:r>
    </w:p>
    <w:p w14:paraId="051B36D9">
      <w:pPr>
        <w:widowControl/>
        <w:tabs>
          <w:tab w:val="left" w:pos="3633"/>
          <w:tab w:val="center" w:pos="4723"/>
        </w:tabs>
        <w:adjustRightInd w:val="0"/>
        <w:spacing w:after="200" w:line="360" w:lineRule="exact"/>
        <w:ind w:firstLine="643"/>
        <w:jc w:val="left"/>
        <w:textAlignment w:val="baseline"/>
        <w:rPr>
          <w:rFonts w:ascii="宋体" w:hAnsi="宋体" w:eastAsia="Arial" w:cs="Times New Roman"/>
          <w:b/>
          <w:color w:val="auto"/>
          <w:kern w:val="0"/>
          <w:sz w:val="32"/>
          <w:highlight w:val="none"/>
        </w:rPr>
      </w:pPr>
      <w:r>
        <w:rPr>
          <w:rFonts w:ascii="宋体" w:hAnsi="宋体" w:eastAsia="Arial" w:cs="Times New Roman"/>
          <w:b/>
          <w:color w:val="auto"/>
          <w:kern w:val="0"/>
          <w:sz w:val="32"/>
          <w:highlight w:val="none"/>
        </w:rPr>
        <w:tab/>
      </w:r>
      <w:r>
        <w:rPr>
          <w:rFonts w:ascii="宋体" w:hAnsi="宋体" w:eastAsia="Arial" w:cs="Times New Roman"/>
          <w:b/>
          <w:color w:val="auto"/>
          <w:kern w:val="0"/>
          <w:sz w:val="32"/>
          <w:highlight w:val="none"/>
        </w:rPr>
        <w:tab/>
      </w:r>
      <w:r>
        <w:rPr>
          <w:rFonts w:hint="eastAsia" w:ascii="宋体" w:hAnsi="宋体" w:eastAsia="Arial" w:cs="Times New Roman"/>
          <w:b/>
          <w:color w:val="auto"/>
          <w:kern w:val="0"/>
          <w:sz w:val="32"/>
          <w:highlight w:val="none"/>
        </w:rPr>
        <w:t>响应承诺函</w:t>
      </w:r>
    </w:p>
    <w:p w14:paraId="617133B3">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u w:val="single"/>
        </w:rPr>
        <w:t xml:space="preserve">苏州市公共资源交易中心太仓分中心 </w:t>
      </w:r>
      <w:r>
        <w:rPr>
          <w:rFonts w:hint="eastAsia" w:ascii="宋体" w:hAnsi="宋体" w:cs="宋体"/>
          <w:color w:val="auto"/>
          <w:kern w:val="0"/>
          <w:szCs w:val="24"/>
          <w:highlight w:val="none"/>
        </w:rPr>
        <w:t>：</w:t>
      </w:r>
    </w:p>
    <w:p w14:paraId="7CB34703">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我们收到贵单位苏州港船舶服务平台改造采购文件（项目编号：</w:t>
      </w:r>
      <w:r>
        <w:rPr>
          <w:rFonts w:hint="eastAsia" w:ascii="宋体" w:hAnsi="宋体" w:cs="宋体"/>
          <w:b/>
          <w:color w:val="auto"/>
          <w:kern w:val="0"/>
          <w:szCs w:val="24"/>
          <w:highlight w:val="none"/>
          <w:u w:val="single"/>
          <w:lang w:val="en-US" w:eastAsia="zh-CN"/>
        </w:rPr>
        <w:t xml:space="preserve">        </w:t>
      </w:r>
      <w:r>
        <w:rPr>
          <w:rFonts w:hint="eastAsia" w:ascii="宋体" w:hAnsi="宋体" w:cs="宋体"/>
          <w:color w:val="auto"/>
          <w:kern w:val="0"/>
          <w:szCs w:val="24"/>
          <w:highlight w:val="none"/>
        </w:rPr>
        <w:t xml:space="preserve"> ），经仔细阅读和研究，我们决定参加响应。</w:t>
      </w:r>
    </w:p>
    <w:p w14:paraId="01F052F5">
      <w:pPr>
        <w:widowControl/>
        <w:spacing w:after="200" w:line="500" w:lineRule="exact"/>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  1、我们愿意按照采购文件的一切要求，提供包括完成该项目全部内容的设备、材料及人工、机械、保险、劳保、各种税费以及质保期间的一切费用。</w:t>
      </w:r>
    </w:p>
    <w:p w14:paraId="51A4DC16">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    2、如果我们的响应书被接受，我们将严格履行采购文件中规定的每一项要求，按期、按质、按量履行合同的义务。</w:t>
      </w:r>
    </w:p>
    <w:p w14:paraId="72BAA252">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    3、我们同意按采购文件中的规定，本响应书的有效期限为开标后</w:t>
      </w:r>
      <w:r>
        <w:rPr>
          <w:rFonts w:hint="eastAsia" w:ascii="宋体" w:hAnsi="宋体" w:cs="宋体"/>
          <w:b/>
          <w:color w:val="auto"/>
          <w:kern w:val="0"/>
          <w:szCs w:val="24"/>
          <w:highlight w:val="none"/>
          <w:u w:val="single"/>
        </w:rPr>
        <w:t>90</w:t>
      </w:r>
      <w:r>
        <w:rPr>
          <w:rFonts w:hint="eastAsia" w:ascii="宋体" w:hAnsi="宋体" w:cs="宋体"/>
          <w:color w:val="auto"/>
          <w:kern w:val="0"/>
          <w:szCs w:val="24"/>
          <w:highlight w:val="none"/>
        </w:rPr>
        <w:t>天。</w:t>
      </w:r>
    </w:p>
    <w:p w14:paraId="350B0997">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    4、我们愿意提供采购方在采购文件中要求的所有资料。</w:t>
      </w:r>
    </w:p>
    <w:p w14:paraId="03CC9F09">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    5、我们认为你们有权决定成交者，还认为你们有权接受或拒绝所有的响应者。</w:t>
      </w:r>
    </w:p>
    <w:p w14:paraId="4879BC37">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    6、我们完全理解贵方不一定要接受最低报价的响应或收到的任何响应。</w:t>
      </w:r>
    </w:p>
    <w:p w14:paraId="7F70B3F8">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    7、我们承诺该项响应在开标后的全过程中保持有效，不作任何更改和变动。</w:t>
      </w:r>
    </w:p>
    <w:p w14:paraId="316F9DD5">
      <w:pPr>
        <w:widowControl/>
        <w:adjustRightInd w:val="0"/>
        <w:spacing w:after="200" w:line="500" w:lineRule="exact"/>
        <w:ind w:firstLine="480"/>
        <w:jc w:val="left"/>
        <w:textAlignment w:val="baseline"/>
        <w:rPr>
          <w:rFonts w:hint="eastAsia" w:ascii="宋体" w:hAnsi="宋体" w:cs="宋体"/>
          <w:b/>
          <w:bCs/>
          <w:color w:val="auto"/>
          <w:kern w:val="0"/>
          <w:szCs w:val="24"/>
          <w:highlight w:val="none"/>
        </w:rPr>
      </w:pPr>
      <w:r>
        <w:rPr>
          <w:rFonts w:hint="eastAsia" w:ascii="宋体" w:hAnsi="宋体" w:cs="宋体"/>
          <w:color w:val="auto"/>
          <w:kern w:val="0"/>
          <w:szCs w:val="24"/>
          <w:highlight w:val="none"/>
        </w:rPr>
        <w:t>8、</w:t>
      </w:r>
      <w:r>
        <w:rPr>
          <w:rFonts w:hint="eastAsia" w:ascii="宋体" w:hAnsi="宋体" w:cs="宋体"/>
          <w:b/>
          <w:bCs/>
          <w:color w:val="auto"/>
          <w:kern w:val="0"/>
          <w:szCs w:val="24"/>
          <w:highlight w:val="none"/>
        </w:rPr>
        <w:t>如果成交，我们同意并知晓成交通知书发出方式及发出时间，遵守采购文件和成交通知书规定，在指定时间和地点和采购人签订合同。</w:t>
      </w:r>
    </w:p>
    <w:p w14:paraId="176C0C16">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9、综合说明：</w:t>
      </w:r>
    </w:p>
    <w:p w14:paraId="7F8BD32C">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（1）伴随服务及配合措施；</w:t>
      </w:r>
    </w:p>
    <w:p w14:paraId="091F4A7C">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（2）要求甲方提供的配合；</w:t>
      </w:r>
    </w:p>
    <w:p w14:paraId="4845E4E7">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（3）对采购文件有不同意见的偏离说明；</w:t>
      </w:r>
    </w:p>
    <w:p w14:paraId="3D67E2DA">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（4）其它说明。</w:t>
      </w:r>
    </w:p>
    <w:p w14:paraId="050E837C">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所有有关标书的函电，请按下列地址联系：</w:t>
      </w:r>
    </w:p>
    <w:p w14:paraId="51279C94">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单位：                         联系人：</w:t>
      </w:r>
    </w:p>
    <w:p w14:paraId="178CF9AC">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地址：                         邮政编码：</w:t>
      </w:r>
    </w:p>
    <w:p w14:paraId="4E7003E5">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联系电话：                     传真：</w:t>
      </w:r>
    </w:p>
    <w:p w14:paraId="30261DDC">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p>
    <w:p w14:paraId="0D949386">
      <w:pPr>
        <w:widowControl/>
        <w:adjustRightInd w:val="0"/>
        <w:spacing w:after="200" w:line="500" w:lineRule="exact"/>
        <w:ind w:firstLine="240" w:firstLineChars="10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响应单位：（单位盖章）</w:t>
      </w:r>
    </w:p>
    <w:p w14:paraId="56DCFAAE">
      <w:pPr>
        <w:widowControl/>
        <w:spacing w:after="200" w:line="500" w:lineRule="exact"/>
        <w:ind w:firstLine="240" w:firstLineChars="10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法定代表人或授权代理人（签字或盖章）</w:t>
      </w:r>
    </w:p>
    <w:p w14:paraId="4AC20190">
      <w:pPr>
        <w:widowControl/>
        <w:spacing w:after="200" w:line="500" w:lineRule="exact"/>
        <w:ind w:firstLine="240" w:firstLineChars="10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响应日期： 年 月 日</w:t>
      </w:r>
    </w:p>
    <w:p w14:paraId="5DC4A35E">
      <w:pPr>
        <w:spacing w:after="200" w:line="580" w:lineRule="exact"/>
        <w:ind w:firstLine="480"/>
        <w:rPr>
          <w:rFonts w:ascii="Arial" w:hAnsi="宋体" w:eastAsia="Arial" w:cs="Times New Roman"/>
          <w:b/>
          <w:color w:val="auto"/>
          <w:sz w:val="32"/>
          <w:szCs w:val="32"/>
          <w:highlight w:val="none"/>
        </w:rPr>
      </w:pPr>
      <w:r>
        <w:rPr>
          <w:rFonts w:ascii="Arial" w:hAnsi="宋体" w:eastAsia="Arial" w:cs="Times New Roman"/>
          <w:color w:val="auto"/>
          <w:szCs w:val="20"/>
          <w:highlight w:val="none"/>
        </w:rPr>
        <w:br w:type="page"/>
      </w:r>
      <w:r>
        <w:rPr>
          <w:rFonts w:hint="eastAsia" w:ascii="Arial" w:hAnsi="宋体" w:eastAsia="Arial" w:cs="Times New Roman"/>
          <w:b/>
          <w:color w:val="auto"/>
          <w:sz w:val="32"/>
          <w:szCs w:val="32"/>
          <w:highlight w:val="none"/>
        </w:rPr>
        <w:t>3、参加政府采购活动前三年内，在经营活动中没有重大违法记录声明</w:t>
      </w:r>
    </w:p>
    <w:p w14:paraId="72EA0F47">
      <w:pPr>
        <w:widowControl/>
        <w:spacing w:after="200" w:line="580" w:lineRule="exact"/>
        <w:ind w:left="-240" w:leftChars="-100" w:right="-240" w:rightChars="-100" w:firstLine="442"/>
        <w:jc w:val="left"/>
        <w:rPr>
          <w:rFonts w:ascii="宋体" w:hAnsi="宋体" w:eastAsia="Arial" w:cs="宋体"/>
          <w:b/>
          <w:color w:val="auto"/>
          <w:kern w:val="0"/>
          <w:sz w:val="22"/>
          <w:highlight w:val="none"/>
        </w:rPr>
      </w:pPr>
    </w:p>
    <w:p w14:paraId="6A0A9558">
      <w:pPr>
        <w:widowControl/>
        <w:spacing w:after="200" w:line="580" w:lineRule="exact"/>
        <w:ind w:firstLine="482"/>
        <w:jc w:val="center"/>
        <w:rPr>
          <w:rFonts w:hint="eastAsia" w:ascii="宋体" w:hAnsi="宋体" w:cs="宋体"/>
          <w:color w:val="auto"/>
          <w:kern w:val="0"/>
          <w:szCs w:val="24"/>
          <w:highlight w:val="none"/>
        </w:rPr>
      </w:pPr>
      <w:r>
        <w:rPr>
          <w:rFonts w:hint="eastAsia" w:ascii="宋体" w:hAnsi="宋体" w:cs="宋体"/>
          <w:b/>
          <w:color w:val="auto"/>
          <w:kern w:val="0"/>
          <w:szCs w:val="24"/>
          <w:highlight w:val="none"/>
        </w:rPr>
        <w:t>参加政府采购活动前三年内，在经营活动中没有重大违法记录声明</w:t>
      </w:r>
    </w:p>
    <w:p w14:paraId="14480D76">
      <w:pPr>
        <w:widowControl/>
        <w:spacing w:after="200"/>
        <w:ind w:firstLine="480"/>
        <w:jc w:val="left"/>
        <w:rPr>
          <w:rFonts w:hint="eastAsia" w:ascii="宋体" w:hAnsi="宋体" w:cs="宋体"/>
          <w:color w:val="auto"/>
          <w:kern w:val="0"/>
          <w:szCs w:val="24"/>
          <w:highlight w:val="none"/>
        </w:rPr>
      </w:pPr>
    </w:p>
    <w:p w14:paraId="12E1C66B">
      <w:pPr>
        <w:widowControl/>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致：苏州市公共资源交易中心太仓分中心：</w:t>
      </w:r>
    </w:p>
    <w:p w14:paraId="3FCF3CE8">
      <w:pPr>
        <w:widowControl/>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我单位</w:t>
      </w:r>
      <w:r>
        <w:rPr>
          <w:rFonts w:hint="eastAsia" w:ascii="宋体" w:hAnsi="宋体" w:cs="宋体"/>
          <w:color w:val="auto"/>
          <w:kern w:val="0"/>
          <w:szCs w:val="24"/>
          <w:highlight w:val="none"/>
          <w:u w:val="single"/>
        </w:rPr>
        <w:t xml:space="preserve">         （供应商名称）        </w:t>
      </w:r>
      <w:r>
        <w:rPr>
          <w:rFonts w:hint="eastAsia" w:ascii="宋体" w:hAnsi="宋体" w:cs="宋体"/>
          <w:color w:val="auto"/>
          <w:kern w:val="0"/>
          <w:szCs w:val="24"/>
          <w:highlight w:val="none"/>
        </w:rPr>
        <w:t xml:space="preserve"> 在参加政府采购活动前三年内，没有重大违法记录，特此声明。</w:t>
      </w:r>
    </w:p>
    <w:p w14:paraId="4E6B1B3C">
      <w:pPr>
        <w:widowControl/>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若采购代理机构在本项目采购过程中发现我单位近三年内在经营活动中有重大违法记录，我单位将无条件退出本项目的招标，并承担因此引起的一起后果。</w:t>
      </w:r>
    </w:p>
    <w:p w14:paraId="5A455083">
      <w:pPr>
        <w:widowControl/>
        <w:spacing w:after="200"/>
        <w:ind w:firstLine="480"/>
        <w:jc w:val="left"/>
        <w:rPr>
          <w:rFonts w:hint="eastAsia" w:ascii="宋体" w:hAnsi="宋体" w:cs="宋体"/>
          <w:color w:val="auto"/>
          <w:kern w:val="0"/>
          <w:szCs w:val="24"/>
          <w:highlight w:val="none"/>
        </w:rPr>
      </w:pPr>
    </w:p>
    <w:p w14:paraId="24F7586D">
      <w:pPr>
        <w:widowControl/>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响应单位（单位公章）：</w:t>
      </w:r>
    </w:p>
    <w:p w14:paraId="34719C52">
      <w:pPr>
        <w:widowControl/>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法定代表人或授权代理人（签字或盖章）：</w:t>
      </w:r>
    </w:p>
    <w:p w14:paraId="001DB9F5">
      <w:pPr>
        <w:widowControl/>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响应日期：  年   月   日</w:t>
      </w:r>
    </w:p>
    <w:p w14:paraId="65D06225">
      <w:pPr>
        <w:overflowPunct w:val="0"/>
        <w:spacing w:after="200" w:line="400" w:lineRule="exact"/>
        <w:ind w:firstLine="440"/>
        <w:rPr>
          <w:rFonts w:ascii="宋体" w:hAnsi="宋体" w:eastAsia="Arial" w:cs="Times New Roman"/>
          <w:color w:val="auto"/>
          <w:sz w:val="28"/>
          <w:szCs w:val="32"/>
          <w:highlight w:val="none"/>
        </w:rPr>
      </w:pPr>
      <w:r>
        <w:rPr>
          <w:rFonts w:ascii="宋体" w:hAnsi="宋体" w:eastAsia="Arial" w:cs="Times New Roman"/>
          <w:color w:val="auto"/>
          <w:sz w:val="22"/>
          <w:szCs w:val="24"/>
          <w:highlight w:val="none"/>
        </w:rPr>
        <w:br w:type="page"/>
      </w:r>
      <w:r>
        <w:rPr>
          <w:rFonts w:hint="eastAsia" w:ascii="宋体" w:hAnsi="宋体" w:eastAsia="Arial" w:cs="Times New Roman"/>
          <w:b/>
          <w:color w:val="auto"/>
          <w:sz w:val="28"/>
          <w:szCs w:val="32"/>
          <w:highlight w:val="none"/>
        </w:rPr>
        <w:t>4、响应单位情况表</w:t>
      </w:r>
    </w:p>
    <w:p w14:paraId="08A823AF">
      <w:pPr>
        <w:overflowPunct w:val="0"/>
        <w:spacing w:after="200" w:line="276" w:lineRule="auto"/>
        <w:ind w:left="1440" w:leftChars="600" w:firstLine="2175" w:firstLineChars="725"/>
        <w:rPr>
          <w:rFonts w:ascii="宋体" w:hAnsi="宋体" w:eastAsia="Arial" w:cs="Times New Roman"/>
          <w:color w:val="auto"/>
          <w:sz w:val="30"/>
          <w:szCs w:val="30"/>
          <w:highlight w:val="none"/>
        </w:rPr>
      </w:pPr>
      <w:r>
        <w:rPr>
          <w:rFonts w:hint="eastAsia" w:ascii="宋体" w:hAnsi="宋体" w:eastAsia="Arial" w:cs="Times New Roman"/>
          <w:color w:val="auto"/>
          <w:sz w:val="30"/>
          <w:szCs w:val="30"/>
          <w:highlight w:val="none"/>
        </w:rPr>
        <w:t>响应单位情况表</w:t>
      </w:r>
    </w:p>
    <w:p w14:paraId="28C96FCE">
      <w:pPr>
        <w:overflowPunct w:val="0"/>
        <w:spacing w:after="200" w:line="276" w:lineRule="auto"/>
        <w:ind w:firstLine="480"/>
        <w:rPr>
          <w:rFonts w:hint="eastAsia" w:ascii="宋体" w:hAnsi="宋体" w:cs="宋体"/>
          <w:color w:val="auto"/>
          <w:szCs w:val="24"/>
          <w:highlight w:val="none"/>
        </w:rPr>
      </w:pPr>
      <w:r>
        <w:rPr>
          <w:rFonts w:hint="eastAsia" w:ascii="宋体" w:hAnsi="宋体" w:cs="宋体"/>
          <w:color w:val="auto"/>
          <w:szCs w:val="24"/>
          <w:highlight w:val="none"/>
        </w:rPr>
        <w:t>单位名称（盖章）：</w:t>
      </w:r>
    </w:p>
    <w:tbl>
      <w:tblPr>
        <w:tblStyle w:val="2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340"/>
        <w:gridCol w:w="1646"/>
        <w:gridCol w:w="1330"/>
        <w:gridCol w:w="2162"/>
        <w:gridCol w:w="946"/>
      </w:tblGrid>
      <w:tr w14:paraId="6A45D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66" w:hRule="atLeast"/>
        </w:trPr>
        <w:tc>
          <w:tcPr>
            <w:tcW w:w="3340" w:type="dxa"/>
          </w:tcPr>
          <w:p w14:paraId="00D9797D">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法定代表人</w:t>
            </w:r>
          </w:p>
        </w:tc>
        <w:tc>
          <w:tcPr>
            <w:tcW w:w="1646" w:type="dxa"/>
          </w:tcPr>
          <w:p w14:paraId="10C6410D">
            <w:pPr>
              <w:overflowPunct w:val="0"/>
              <w:spacing w:after="200" w:line="240" w:lineRule="auto"/>
              <w:ind w:left="1260" w:firstLine="480"/>
              <w:rPr>
                <w:rFonts w:hint="eastAsia" w:ascii="宋体" w:hAnsi="宋体" w:cs="宋体"/>
                <w:color w:val="auto"/>
                <w:szCs w:val="24"/>
                <w:highlight w:val="none"/>
                <w:lang w:eastAsia="en-US"/>
              </w:rPr>
            </w:pPr>
          </w:p>
        </w:tc>
        <w:tc>
          <w:tcPr>
            <w:tcW w:w="1330" w:type="dxa"/>
          </w:tcPr>
          <w:p w14:paraId="35F17C4A">
            <w:pPr>
              <w:overflowPunct w:val="0"/>
              <w:spacing w:after="200" w:line="240" w:lineRule="auto"/>
              <w:ind w:firstLine="0" w:firstLineChars="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成立日期</w:t>
            </w:r>
          </w:p>
        </w:tc>
        <w:tc>
          <w:tcPr>
            <w:tcW w:w="3108" w:type="dxa"/>
            <w:gridSpan w:val="2"/>
          </w:tcPr>
          <w:p w14:paraId="4E10CFA5">
            <w:pPr>
              <w:overflowPunct w:val="0"/>
              <w:spacing w:after="200" w:line="240" w:lineRule="auto"/>
              <w:ind w:left="1260" w:firstLine="480"/>
              <w:rPr>
                <w:rFonts w:hint="eastAsia" w:ascii="宋体" w:hAnsi="宋体" w:cs="宋体"/>
                <w:color w:val="auto"/>
                <w:szCs w:val="24"/>
                <w:highlight w:val="none"/>
                <w:lang w:eastAsia="en-US"/>
              </w:rPr>
            </w:pPr>
          </w:p>
        </w:tc>
      </w:tr>
      <w:tr w14:paraId="0AC75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40" w:type="dxa"/>
          </w:tcPr>
          <w:p w14:paraId="01212D31">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企业地址</w:t>
            </w:r>
          </w:p>
        </w:tc>
        <w:tc>
          <w:tcPr>
            <w:tcW w:w="1646" w:type="dxa"/>
          </w:tcPr>
          <w:p w14:paraId="7109F329">
            <w:pPr>
              <w:overflowPunct w:val="0"/>
              <w:spacing w:after="200" w:line="240" w:lineRule="auto"/>
              <w:ind w:left="1260" w:firstLine="480"/>
              <w:rPr>
                <w:rFonts w:hint="eastAsia" w:ascii="宋体" w:hAnsi="宋体" w:cs="宋体"/>
                <w:color w:val="auto"/>
                <w:szCs w:val="24"/>
                <w:highlight w:val="none"/>
                <w:lang w:eastAsia="en-US"/>
              </w:rPr>
            </w:pPr>
          </w:p>
        </w:tc>
        <w:tc>
          <w:tcPr>
            <w:tcW w:w="1330" w:type="dxa"/>
          </w:tcPr>
          <w:p w14:paraId="448CB506">
            <w:pPr>
              <w:overflowPunct w:val="0"/>
              <w:spacing w:after="200" w:line="240" w:lineRule="auto"/>
              <w:ind w:firstLine="0" w:firstLineChars="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注册资本</w:t>
            </w:r>
          </w:p>
        </w:tc>
        <w:tc>
          <w:tcPr>
            <w:tcW w:w="3108" w:type="dxa"/>
            <w:gridSpan w:val="2"/>
          </w:tcPr>
          <w:p w14:paraId="17161F44">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 xml:space="preserve">                万元</w:t>
            </w:r>
          </w:p>
        </w:tc>
      </w:tr>
      <w:tr w14:paraId="4FA01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40" w:type="dxa"/>
          </w:tcPr>
          <w:p w14:paraId="66D6F74B">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经营范围</w:t>
            </w:r>
          </w:p>
        </w:tc>
        <w:tc>
          <w:tcPr>
            <w:tcW w:w="6084" w:type="dxa"/>
            <w:gridSpan w:val="4"/>
          </w:tcPr>
          <w:p w14:paraId="78B8D66B">
            <w:pPr>
              <w:overflowPunct w:val="0"/>
              <w:spacing w:after="200" w:line="240" w:lineRule="auto"/>
              <w:ind w:left="1260" w:firstLine="480"/>
              <w:rPr>
                <w:rFonts w:hint="eastAsia" w:ascii="宋体" w:hAnsi="宋体" w:cs="宋体"/>
                <w:color w:val="auto"/>
                <w:szCs w:val="24"/>
                <w:highlight w:val="none"/>
                <w:lang w:eastAsia="en-US"/>
              </w:rPr>
            </w:pPr>
          </w:p>
        </w:tc>
      </w:tr>
      <w:tr w14:paraId="749B9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40" w:type="dxa"/>
          </w:tcPr>
          <w:p w14:paraId="5F107A84">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职工人数</w:t>
            </w:r>
          </w:p>
        </w:tc>
        <w:tc>
          <w:tcPr>
            <w:tcW w:w="1646" w:type="dxa"/>
          </w:tcPr>
          <w:p w14:paraId="37458EC1">
            <w:pPr>
              <w:overflowPunct w:val="0"/>
              <w:spacing w:after="200" w:line="240" w:lineRule="auto"/>
              <w:ind w:firstLine="480"/>
              <w:rPr>
                <w:rFonts w:hint="eastAsia" w:ascii="宋体" w:hAnsi="宋体" w:cs="宋体"/>
                <w:color w:val="auto"/>
                <w:szCs w:val="24"/>
                <w:highlight w:val="none"/>
                <w:lang w:eastAsia="en-US"/>
              </w:rPr>
            </w:pPr>
          </w:p>
        </w:tc>
        <w:tc>
          <w:tcPr>
            <w:tcW w:w="3492" w:type="dxa"/>
            <w:gridSpan w:val="2"/>
          </w:tcPr>
          <w:p w14:paraId="609B132C">
            <w:pPr>
              <w:overflowPunct w:val="0"/>
              <w:spacing w:after="200" w:line="240" w:lineRule="auto"/>
              <w:ind w:firstLine="0" w:firstLineChars="0"/>
              <w:rPr>
                <w:rFonts w:hint="eastAsia" w:ascii="宋体" w:hAnsi="宋体" w:cs="宋体"/>
                <w:color w:val="auto"/>
                <w:szCs w:val="24"/>
                <w:highlight w:val="none"/>
              </w:rPr>
            </w:pPr>
            <w:r>
              <w:rPr>
                <w:rFonts w:hint="eastAsia" w:ascii="宋体" w:hAnsi="宋体" w:cs="宋体"/>
                <w:color w:val="auto"/>
                <w:szCs w:val="24"/>
                <w:highlight w:val="none"/>
              </w:rPr>
              <w:t>其中：有中高级以上职称的人数</w:t>
            </w:r>
          </w:p>
        </w:tc>
        <w:tc>
          <w:tcPr>
            <w:tcW w:w="946" w:type="dxa"/>
          </w:tcPr>
          <w:p w14:paraId="4299F9DD">
            <w:pPr>
              <w:overflowPunct w:val="0"/>
              <w:spacing w:after="200" w:line="240" w:lineRule="auto"/>
              <w:ind w:left="1260" w:firstLine="480"/>
              <w:rPr>
                <w:rFonts w:hint="eastAsia" w:ascii="宋体" w:hAnsi="宋体" w:cs="宋体"/>
                <w:color w:val="auto"/>
                <w:szCs w:val="24"/>
                <w:highlight w:val="none"/>
              </w:rPr>
            </w:pPr>
          </w:p>
        </w:tc>
      </w:tr>
      <w:tr w14:paraId="5FA7E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40" w:type="dxa"/>
            <w:vAlign w:val="center"/>
          </w:tcPr>
          <w:p w14:paraId="308A9AA0">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资产总计</w:t>
            </w:r>
          </w:p>
        </w:tc>
        <w:tc>
          <w:tcPr>
            <w:tcW w:w="1646" w:type="dxa"/>
            <w:vAlign w:val="center"/>
          </w:tcPr>
          <w:p w14:paraId="5F729330">
            <w:pPr>
              <w:overflowPunct w:val="0"/>
              <w:spacing w:after="200" w:line="240" w:lineRule="auto"/>
              <w:ind w:firstLine="120" w:firstLineChars="5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 xml:space="preserve">      万元</w:t>
            </w:r>
          </w:p>
        </w:tc>
        <w:tc>
          <w:tcPr>
            <w:tcW w:w="1330" w:type="dxa"/>
            <w:vAlign w:val="center"/>
          </w:tcPr>
          <w:p w14:paraId="6B3A98B5">
            <w:pPr>
              <w:overflowPunct w:val="0"/>
              <w:spacing w:after="200" w:line="240" w:lineRule="auto"/>
              <w:ind w:firstLine="0" w:firstLineChars="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净资产</w:t>
            </w:r>
          </w:p>
        </w:tc>
        <w:tc>
          <w:tcPr>
            <w:tcW w:w="3108" w:type="dxa"/>
            <w:gridSpan w:val="2"/>
            <w:vAlign w:val="center"/>
          </w:tcPr>
          <w:p w14:paraId="26D7DAC9">
            <w:pPr>
              <w:overflowPunct w:val="0"/>
              <w:spacing w:after="200" w:line="240" w:lineRule="auto"/>
              <w:ind w:left="1260" w:firstLine="480"/>
              <w:jc w:val="center"/>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 xml:space="preserve">     万元</w:t>
            </w:r>
          </w:p>
        </w:tc>
      </w:tr>
      <w:tr w14:paraId="54D74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40" w:type="dxa"/>
            <w:vAlign w:val="center"/>
          </w:tcPr>
          <w:p w14:paraId="02D56455">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股东权益</w:t>
            </w:r>
          </w:p>
        </w:tc>
        <w:tc>
          <w:tcPr>
            <w:tcW w:w="1646" w:type="dxa"/>
            <w:vAlign w:val="center"/>
          </w:tcPr>
          <w:p w14:paraId="2213F2F8">
            <w:pPr>
              <w:overflowPunct w:val="0"/>
              <w:spacing w:after="200" w:line="240" w:lineRule="auto"/>
              <w:ind w:firstLine="720" w:firstLineChars="30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万元</w:t>
            </w:r>
          </w:p>
        </w:tc>
        <w:tc>
          <w:tcPr>
            <w:tcW w:w="1330" w:type="dxa"/>
            <w:vAlign w:val="center"/>
          </w:tcPr>
          <w:p w14:paraId="6529F59C">
            <w:pPr>
              <w:overflowPunct w:val="0"/>
              <w:spacing w:after="200" w:line="240" w:lineRule="auto"/>
              <w:ind w:firstLine="0" w:firstLineChars="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销售收入</w:t>
            </w:r>
          </w:p>
        </w:tc>
        <w:tc>
          <w:tcPr>
            <w:tcW w:w="3108" w:type="dxa"/>
            <w:gridSpan w:val="2"/>
            <w:vAlign w:val="center"/>
          </w:tcPr>
          <w:p w14:paraId="1CD1D462">
            <w:pPr>
              <w:overflowPunct w:val="0"/>
              <w:spacing w:after="200" w:line="240" w:lineRule="auto"/>
              <w:ind w:firstLine="482"/>
              <w:rPr>
                <w:rFonts w:hint="eastAsia" w:ascii="宋体" w:hAnsi="宋体" w:cs="宋体"/>
                <w:b/>
                <w:color w:val="auto"/>
                <w:szCs w:val="24"/>
                <w:highlight w:val="none"/>
                <w:lang w:eastAsia="en-US"/>
              </w:rPr>
            </w:pPr>
            <w:r>
              <w:rPr>
                <w:rFonts w:hint="eastAsia" w:ascii="宋体" w:hAnsi="宋体" w:cs="宋体"/>
                <w:b/>
                <w:color w:val="auto"/>
                <w:szCs w:val="24"/>
                <w:highlight w:val="none"/>
                <w:lang w:eastAsia="en-US"/>
              </w:rPr>
              <w:t>202</w:t>
            </w:r>
            <w:r>
              <w:rPr>
                <w:rFonts w:hint="eastAsia" w:ascii="宋体" w:hAnsi="宋体" w:cs="宋体"/>
                <w:b/>
                <w:color w:val="auto"/>
                <w:szCs w:val="24"/>
                <w:highlight w:val="none"/>
              </w:rPr>
              <w:t>4</w:t>
            </w:r>
            <w:r>
              <w:rPr>
                <w:rFonts w:hint="eastAsia" w:ascii="宋体" w:hAnsi="宋体" w:cs="宋体"/>
                <w:b/>
                <w:color w:val="auto"/>
                <w:szCs w:val="24"/>
                <w:highlight w:val="none"/>
                <w:lang w:eastAsia="en-US"/>
              </w:rPr>
              <w:t>年</w:t>
            </w:r>
            <w:r>
              <w:rPr>
                <w:rFonts w:hint="eastAsia" w:ascii="宋体" w:hAnsi="宋体" w:cs="宋体"/>
                <w:b/>
                <w:color w:val="auto"/>
                <w:szCs w:val="24"/>
                <w:highlight w:val="none"/>
              </w:rPr>
              <w:t xml:space="preserve">    </w:t>
            </w:r>
            <w:r>
              <w:rPr>
                <w:rFonts w:hint="eastAsia" w:ascii="宋体" w:hAnsi="宋体" w:cs="宋体"/>
                <w:b/>
                <w:color w:val="auto"/>
                <w:szCs w:val="24"/>
                <w:highlight w:val="none"/>
                <w:lang w:eastAsia="en-US"/>
              </w:rPr>
              <w:t>万元</w:t>
            </w:r>
          </w:p>
        </w:tc>
      </w:tr>
      <w:tr w14:paraId="06677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35" w:hRule="atLeast"/>
        </w:trPr>
        <w:tc>
          <w:tcPr>
            <w:tcW w:w="3340" w:type="dxa"/>
          </w:tcPr>
          <w:p w14:paraId="4D05629E">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实现利润</w:t>
            </w:r>
          </w:p>
        </w:tc>
        <w:tc>
          <w:tcPr>
            <w:tcW w:w="1646" w:type="dxa"/>
          </w:tcPr>
          <w:p w14:paraId="0F90E28D">
            <w:pPr>
              <w:overflowPunct w:val="0"/>
              <w:spacing w:after="200" w:line="240" w:lineRule="auto"/>
              <w:ind w:firstLine="0" w:firstLineChars="0"/>
              <w:rPr>
                <w:rFonts w:hint="eastAsia" w:ascii="宋体" w:hAnsi="宋体" w:cs="宋体"/>
                <w:b/>
                <w:color w:val="auto"/>
                <w:szCs w:val="24"/>
                <w:highlight w:val="none"/>
                <w:lang w:eastAsia="en-US"/>
              </w:rPr>
            </w:pPr>
            <w:r>
              <w:rPr>
                <w:rFonts w:hint="eastAsia" w:ascii="宋体" w:hAnsi="宋体" w:cs="宋体"/>
                <w:b/>
                <w:color w:val="auto"/>
                <w:szCs w:val="24"/>
                <w:highlight w:val="none"/>
                <w:lang w:eastAsia="en-US"/>
              </w:rPr>
              <w:t>202</w:t>
            </w:r>
            <w:r>
              <w:rPr>
                <w:rFonts w:hint="eastAsia" w:ascii="宋体" w:hAnsi="宋体" w:cs="宋体"/>
                <w:b/>
                <w:color w:val="auto"/>
                <w:szCs w:val="24"/>
                <w:highlight w:val="none"/>
              </w:rPr>
              <w:t>4</w:t>
            </w:r>
            <w:r>
              <w:rPr>
                <w:rFonts w:hint="eastAsia" w:ascii="宋体" w:hAnsi="宋体" w:cs="宋体"/>
                <w:b/>
                <w:color w:val="auto"/>
                <w:szCs w:val="24"/>
                <w:highlight w:val="none"/>
                <w:lang w:eastAsia="en-US"/>
              </w:rPr>
              <w:t>年 万元</w:t>
            </w:r>
          </w:p>
        </w:tc>
        <w:tc>
          <w:tcPr>
            <w:tcW w:w="1330" w:type="dxa"/>
          </w:tcPr>
          <w:p w14:paraId="5B583F30">
            <w:pPr>
              <w:overflowPunct w:val="0"/>
              <w:spacing w:after="200" w:line="240" w:lineRule="auto"/>
              <w:ind w:left="1260" w:firstLine="480"/>
              <w:rPr>
                <w:rFonts w:hint="eastAsia" w:ascii="宋体" w:hAnsi="宋体" w:cs="宋体"/>
                <w:color w:val="auto"/>
                <w:szCs w:val="24"/>
                <w:highlight w:val="none"/>
                <w:lang w:eastAsia="en-US"/>
              </w:rPr>
            </w:pPr>
          </w:p>
        </w:tc>
        <w:tc>
          <w:tcPr>
            <w:tcW w:w="3108" w:type="dxa"/>
            <w:gridSpan w:val="2"/>
          </w:tcPr>
          <w:p w14:paraId="37EBF27B">
            <w:pPr>
              <w:overflowPunct w:val="0"/>
              <w:spacing w:after="200" w:line="240" w:lineRule="auto"/>
              <w:ind w:left="1260" w:firstLine="480"/>
              <w:rPr>
                <w:rFonts w:hint="eastAsia" w:ascii="宋体" w:hAnsi="宋体" w:cs="宋体"/>
                <w:color w:val="auto"/>
                <w:szCs w:val="24"/>
                <w:highlight w:val="none"/>
                <w:lang w:eastAsia="en-US"/>
              </w:rPr>
            </w:pPr>
          </w:p>
        </w:tc>
      </w:tr>
      <w:tr w14:paraId="13B35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0" w:hRule="atLeast"/>
        </w:trPr>
        <w:tc>
          <w:tcPr>
            <w:tcW w:w="3340" w:type="dxa"/>
          </w:tcPr>
          <w:p w14:paraId="4D5349F4">
            <w:pPr>
              <w:overflowPunct w:val="0"/>
              <w:spacing w:after="200" w:line="240" w:lineRule="auto"/>
              <w:ind w:firstLine="480"/>
              <w:rPr>
                <w:rFonts w:hint="eastAsia" w:ascii="宋体" w:hAnsi="宋体" w:cs="宋体"/>
                <w:color w:val="auto"/>
                <w:szCs w:val="24"/>
                <w:highlight w:val="none"/>
              </w:rPr>
            </w:pPr>
            <w:r>
              <w:rPr>
                <w:rFonts w:hint="eastAsia" w:ascii="宋体" w:hAnsi="宋体" w:cs="宋体"/>
                <w:color w:val="auto"/>
                <w:szCs w:val="24"/>
                <w:highlight w:val="none"/>
              </w:rPr>
              <w:t>营业面积（含厂房面积）</w:t>
            </w:r>
          </w:p>
        </w:tc>
        <w:tc>
          <w:tcPr>
            <w:tcW w:w="1646" w:type="dxa"/>
            <w:vAlign w:val="center"/>
          </w:tcPr>
          <w:p w14:paraId="3BA9A380">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rPr>
              <w:t xml:space="preserve"> </w:t>
            </w:r>
            <w:r>
              <w:rPr>
                <w:rFonts w:hint="eastAsia" w:ascii="宋体" w:hAnsi="宋体" w:cs="宋体"/>
                <w:color w:val="auto"/>
                <w:szCs w:val="24"/>
                <w:highlight w:val="none"/>
                <w:lang w:eastAsia="en-US"/>
              </w:rPr>
              <w:t>平方米</w:t>
            </w:r>
          </w:p>
        </w:tc>
        <w:tc>
          <w:tcPr>
            <w:tcW w:w="1330" w:type="dxa"/>
          </w:tcPr>
          <w:p w14:paraId="50B692E4">
            <w:pPr>
              <w:overflowPunct w:val="0"/>
              <w:spacing w:after="200" w:line="240" w:lineRule="auto"/>
              <w:ind w:firstLine="48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其中</w:t>
            </w:r>
          </w:p>
        </w:tc>
        <w:tc>
          <w:tcPr>
            <w:tcW w:w="3108" w:type="dxa"/>
            <w:gridSpan w:val="2"/>
          </w:tcPr>
          <w:p w14:paraId="781E735F">
            <w:pPr>
              <w:overflowPunct w:val="0"/>
              <w:spacing w:after="200" w:line="240" w:lineRule="auto"/>
              <w:ind w:firstLine="480"/>
              <w:rPr>
                <w:rFonts w:hint="eastAsia" w:ascii="宋体" w:hAnsi="宋体" w:cs="宋体"/>
                <w:color w:val="auto"/>
                <w:szCs w:val="24"/>
                <w:highlight w:val="none"/>
              </w:rPr>
            </w:pPr>
            <w:r>
              <w:rPr>
                <w:rFonts w:hint="eastAsia" w:ascii="宋体" w:hAnsi="宋体" w:cs="宋体"/>
                <w:color w:val="auto"/>
                <w:szCs w:val="24"/>
                <w:highlight w:val="none"/>
              </w:rPr>
              <w:t>自有面积平方米</w:t>
            </w:r>
          </w:p>
          <w:p w14:paraId="513787A9">
            <w:pPr>
              <w:overflowPunct w:val="0"/>
              <w:spacing w:after="200" w:line="240" w:lineRule="auto"/>
              <w:ind w:firstLine="480"/>
              <w:rPr>
                <w:rFonts w:hint="eastAsia" w:ascii="宋体" w:hAnsi="宋体" w:cs="宋体"/>
                <w:color w:val="auto"/>
                <w:szCs w:val="24"/>
                <w:highlight w:val="none"/>
              </w:rPr>
            </w:pPr>
            <w:r>
              <w:rPr>
                <w:rFonts w:hint="eastAsia" w:ascii="宋体" w:hAnsi="宋体" w:cs="宋体"/>
                <w:color w:val="auto"/>
                <w:szCs w:val="24"/>
                <w:highlight w:val="none"/>
              </w:rPr>
              <w:t>承租面积平方米</w:t>
            </w:r>
          </w:p>
        </w:tc>
      </w:tr>
      <w:tr w14:paraId="0F637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40" w:type="dxa"/>
            <w:vAlign w:val="center"/>
          </w:tcPr>
          <w:p w14:paraId="75C88C3A">
            <w:pPr>
              <w:overflowPunct w:val="0"/>
              <w:spacing w:after="200" w:line="240" w:lineRule="auto"/>
              <w:ind w:firstLine="0" w:firstLineChars="0"/>
              <w:rPr>
                <w:rFonts w:hint="eastAsia" w:ascii="宋体" w:hAnsi="宋体" w:cs="宋体"/>
                <w:color w:val="auto"/>
                <w:szCs w:val="24"/>
                <w:highlight w:val="none"/>
              </w:rPr>
            </w:pPr>
            <w:r>
              <w:rPr>
                <w:rFonts w:hint="eastAsia" w:ascii="宋体" w:hAnsi="宋体" w:cs="宋体"/>
                <w:color w:val="auto"/>
                <w:szCs w:val="24"/>
                <w:highlight w:val="none"/>
              </w:rPr>
              <w:t>单位简历及内设机构情况</w:t>
            </w:r>
          </w:p>
        </w:tc>
        <w:tc>
          <w:tcPr>
            <w:tcW w:w="6084" w:type="dxa"/>
            <w:gridSpan w:val="4"/>
          </w:tcPr>
          <w:p w14:paraId="22311F86">
            <w:pPr>
              <w:overflowPunct w:val="0"/>
              <w:spacing w:after="200" w:line="240" w:lineRule="auto"/>
              <w:ind w:firstLine="480"/>
              <w:rPr>
                <w:rFonts w:hint="eastAsia" w:ascii="宋体" w:hAnsi="宋体" w:cs="宋体"/>
                <w:color w:val="auto"/>
                <w:szCs w:val="24"/>
                <w:highlight w:val="none"/>
              </w:rPr>
            </w:pPr>
          </w:p>
        </w:tc>
      </w:tr>
      <w:tr w14:paraId="785C4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3340" w:type="dxa"/>
            <w:vAlign w:val="center"/>
          </w:tcPr>
          <w:p w14:paraId="26DFC0C3">
            <w:pPr>
              <w:overflowPunct w:val="0"/>
              <w:spacing w:after="200" w:line="240" w:lineRule="auto"/>
              <w:ind w:firstLine="0" w:firstLineChars="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单位优势及特长</w:t>
            </w:r>
          </w:p>
        </w:tc>
        <w:tc>
          <w:tcPr>
            <w:tcW w:w="6084" w:type="dxa"/>
            <w:gridSpan w:val="4"/>
          </w:tcPr>
          <w:p w14:paraId="6E175B6F">
            <w:pPr>
              <w:overflowPunct w:val="0"/>
              <w:spacing w:after="200" w:line="240" w:lineRule="auto"/>
              <w:ind w:left="1260" w:firstLine="480"/>
              <w:rPr>
                <w:rFonts w:hint="eastAsia" w:ascii="宋体" w:hAnsi="宋体" w:cs="宋体"/>
                <w:color w:val="auto"/>
                <w:szCs w:val="24"/>
                <w:highlight w:val="none"/>
                <w:lang w:eastAsia="en-US"/>
              </w:rPr>
            </w:pPr>
          </w:p>
        </w:tc>
      </w:tr>
      <w:tr w14:paraId="3CFC3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40" w:type="dxa"/>
          </w:tcPr>
          <w:p w14:paraId="2F63D6E7">
            <w:pPr>
              <w:overflowPunct w:val="0"/>
              <w:spacing w:after="200" w:line="240" w:lineRule="auto"/>
              <w:ind w:firstLine="0" w:firstLineChars="0"/>
              <w:rPr>
                <w:rFonts w:hint="eastAsia" w:ascii="宋体" w:hAnsi="宋体" w:cs="宋体"/>
                <w:color w:val="auto"/>
                <w:szCs w:val="24"/>
                <w:highlight w:val="none"/>
              </w:rPr>
            </w:pPr>
            <w:r>
              <w:rPr>
                <w:rFonts w:hint="eastAsia" w:ascii="宋体" w:hAnsi="宋体" w:cs="宋体"/>
                <w:color w:val="auto"/>
                <w:szCs w:val="24"/>
                <w:highlight w:val="none"/>
              </w:rPr>
              <w:t>近两年来完成或正在履行的重大合同情况</w:t>
            </w:r>
          </w:p>
        </w:tc>
        <w:tc>
          <w:tcPr>
            <w:tcW w:w="6084" w:type="dxa"/>
            <w:gridSpan w:val="4"/>
          </w:tcPr>
          <w:p w14:paraId="2A1F518B">
            <w:pPr>
              <w:overflowPunct w:val="0"/>
              <w:spacing w:after="200" w:line="240" w:lineRule="auto"/>
              <w:ind w:left="1260" w:firstLine="480"/>
              <w:rPr>
                <w:rFonts w:hint="eastAsia" w:ascii="宋体" w:hAnsi="宋体" w:cs="宋体"/>
                <w:color w:val="auto"/>
                <w:szCs w:val="24"/>
                <w:highlight w:val="none"/>
              </w:rPr>
            </w:pPr>
          </w:p>
        </w:tc>
      </w:tr>
      <w:tr w14:paraId="4D97A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40" w:type="dxa"/>
          </w:tcPr>
          <w:p w14:paraId="04A09965">
            <w:pPr>
              <w:overflowPunct w:val="0"/>
              <w:spacing w:after="200" w:line="240" w:lineRule="auto"/>
              <w:ind w:firstLine="0" w:firstLineChars="0"/>
              <w:rPr>
                <w:rFonts w:hint="eastAsia" w:ascii="宋体" w:hAnsi="宋体" w:cs="宋体"/>
                <w:color w:val="auto"/>
                <w:szCs w:val="24"/>
                <w:highlight w:val="none"/>
              </w:rPr>
            </w:pPr>
            <w:r>
              <w:rPr>
                <w:rFonts w:hint="eastAsia" w:ascii="宋体" w:hAnsi="宋体" w:cs="宋体"/>
                <w:color w:val="auto"/>
                <w:szCs w:val="24"/>
                <w:highlight w:val="none"/>
              </w:rPr>
              <w:t>最近2年内在经营过程中受到何种奖励或处分（包括情况和结果）</w:t>
            </w:r>
          </w:p>
        </w:tc>
        <w:tc>
          <w:tcPr>
            <w:tcW w:w="6084" w:type="dxa"/>
            <w:gridSpan w:val="4"/>
          </w:tcPr>
          <w:p w14:paraId="329DE3CF">
            <w:pPr>
              <w:overflowPunct w:val="0"/>
              <w:spacing w:after="200" w:line="240" w:lineRule="auto"/>
              <w:ind w:left="1260" w:firstLine="480"/>
              <w:rPr>
                <w:rFonts w:hint="eastAsia" w:ascii="宋体" w:hAnsi="宋体" w:cs="宋体"/>
                <w:color w:val="auto"/>
                <w:szCs w:val="24"/>
                <w:highlight w:val="none"/>
              </w:rPr>
            </w:pPr>
          </w:p>
        </w:tc>
      </w:tr>
      <w:tr w14:paraId="280C0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80" w:hRule="atLeast"/>
        </w:trPr>
        <w:tc>
          <w:tcPr>
            <w:tcW w:w="3340" w:type="dxa"/>
          </w:tcPr>
          <w:p w14:paraId="6E1BDB55">
            <w:pPr>
              <w:overflowPunct w:val="0"/>
              <w:spacing w:after="200" w:line="240" w:lineRule="auto"/>
              <w:ind w:firstLine="0" w:firstLineChars="0"/>
              <w:rPr>
                <w:rFonts w:hint="eastAsia" w:ascii="宋体" w:hAnsi="宋体" w:cs="宋体"/>
                <w:color w:val="auto"/>
                <w:szCs w:val="24"/>
                <w:highlight w:val="none"/>
              </w:rPr>
            </w:pPr>
            <w:r>
              <w:rPr>
                <w:rFonts w:hint="eastAsia" w:ascii="宋体" w:hAnsi="宋体" w:cs="宋体"/>
                <w:color w:val="auto"/>
                <w:szCs w:val="24"/>
                <w:highlight w:val="none"/>
              </w:rPr>
              <w:t>最近3年内有无因售假、售劣或是其他原因被消费者投诉或起诉的情况及说明（包括解决方式和结果）</w:t>
            </w:r>
          </w:p>
        </w:tc>
        <w:tc>
          <w:tcPr>
            <w:tcW w:w="6084" w:type="dxa"/>
            <w:gridSpan w:val="4"/>
          </w:tcPr>
          <w:p w14:paraId="1B5E6F4C">
            <w:pPr>
              <w:overflowPunct w:val="0"/>
              <w:spacing w:after="200" w:line="240" w:lineRule="auto"/>
              <w:ind w:left="1260" w:firstLine="480"/>
              <w:rPr>
                <w:rFonts w:hint="eastAsia" w:ascii="宋体" w:hAnsi="宋体" w:cs="宋体"/>
                <w:color w:val="auto"/>
                <w:szCs w:val="24"/>
                <w:highlight w:val="none"/>
              </w:rPr>
            </w:pPr>
          </w:p>
        </w:tc>
      </w:tr>
      <w:tr w14:paraId="06CAE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40" w:type="dxa"/>
          </w:tcPr>
          <w:p w14:paraId="638125BA">
            <w:pPr>
              <w:overflowPunct w:val="0"/>
              <w:spacing w:after="200" w:line="240" w:lineRule="auto"/>
              <w:ind w:firstLine="0" w:firstLineChars="0"/>
              <w:rPr>
                <w:rFonts w:hint="eastAsia" w:ascii="宋体" w:hAnsi="宋体" w:cs="宋体"/>
                <w:color w:val="auto"/>
                <w:szCs w:val="24"/>
                <w:highlight w:val="none"/>
              </w:rPr>
            </w:pPr>
            <w:r>
              <w:rPr>
                <w:rFonts w:hint="eastAsia" w:ascii="宋体" w:hAnsi="宋体" w:cs="宋体"/>
                <w:color w:val="auto"/>
                <w:szCs w:val="24"/>
                <w:highlight w:val="none"/>
              </w:rPr>
              <w:t>最近3年内主要负责人有无因经济犯罪被司法机关追究的情况及说明</w:t>
            </w:r>
          </w:p>
        </w:tc>
        <w:tc>
          <w:tcPr>
            <w:tcW w:w="6084" w:type="dxa"/>
            <w:gridSpan w:val="4"/>
          </w:tcPr>
          <w:p w14:paraId="0D54A033">
            <w:pPr>
              <w:overflowPunct w:val="0"/>
              <w:spacing w:after="200" w:line="240" w:lineRule="auto"/>
              <w:ind w:left="1260" w:firstLine="480"/>
              <w:rPr>
                <w:rFonts w:hint="eastAsia" w:ascii="宋体" w:hAnsi="宋体" w:cs="宋体"/>
                <w:color w:val="auto"/>
                <w:szCs w:val="24"/>
                <w:highlight w:val="none"/>
              </w:rPr>
            </w:pPr>
          </w:p>
        </w:tc>
      </w:tr>
      <w:tr w14:paraId="2A021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40" w:type="dxa"/>
          </w:tcPr>
          <w:p w14:paraId="06104993">
            <w:pPr>
              <w:overflowPunct w:val="0"/>
              <w:spacing w:after="200" w:line="240" w:lineRule="auto"/>
              <w:ind w:firstLine="0" w:firstLineChars="0"/>
              <w:rPr>
                <w:rFonts w:hint="eastAsia" w:ascii="宋体" w:hAnsi="宋体" w:cs="宋体"/>
                <w:color w:val="auto"/>
                <w:szCs w:val="24"/>
                <w:highlight w:val="none"/>
              </w:rPr>
            </w:pPr>
            <w:r>
              <w:rPr>
                <w:rFonts w:hint="eastAsia" w:ascii="宋体" w:hAnsi="宋体" w:cs="宋体"/>
                <w:color w:val="auto"/>
                <w:szCs w:val="24"/>
                <w:highlight w:val="none"/>
              </w:rPr>
              <w:t>获得技术认证的工程师及简介</w:t>
            </w:r>
          </w:p>
        </w:tc>
        <w:tc>
          <w:tcPr>
            <w:tcW w:w="6084" w:type="dxa"/>
            <w:gridSpan w:val="4"/>
          </w:tcPr>
          <w:p w14:paraId="76246EE0">
            <w:pPr>
              <w:overflowPunct w:val="0"/>
              <w:spacing w:after="200" w:line="240" w:lineRule="auto"/>
              <w:ind w:left="1260" w:firstLine="480"/>
              <w:rPr>
                <w:rFonts w:hint="eastAsia" w:ascii="宋体" w:hAnsi="宋体" w:cs="宋体"/>
                <w:color w:val="auto"/>
                <w:szCs w:val="24"/>
                <w:highlight w:val="none"/>
              </w:rPr>
            </w:pPr>
          </w:p>
        </w:tc>
      </w:tr>
      <w:tr w14:paraId="6CE0A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3340" w:type="dxa"/>
          </w:tcPr>
          <w:p w14:paraId="1215E982">
            <w:pPr>
              <w:overflowPunct w:val="0"/>
              <w:spacing w:after="200" w:line="240" w:lineRule="auto"/>
              <w:ind w:firstLine="0" w:firstLineChars="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其他需要说明的情况</w:t>
            </w:r>
          </w:p>
        </w:tc>
        <w:tc>
          <w:tcPr>
            <w:tcW w:w="6084" w:type="dxa"/>
            <w:gridSpan w:val="4"/>
          </w:tcPr>
          <w:p w14:paraId="20BBA118">
            <w:pPr>
              <w:overflowPunct w:val="0"/>
              <w:spacing w:after="200" w:line="240" w:lineRule="auto"/>
              <w:ind w:left="1260" w:firstLine="480"/>
              <w:rPr>
                <w:rFonts w:hint="eastAsia" w:ascii="宋体" w:hAnsi="宋体" w:cs="宋体"/>
                <w:color w:val="auto"/>
                <w:szCs w:val="24"/>
                <w:highlight w:val="none"/>
                <w:lang w:eastAsia="en-US"/>
              </w:rPr>
            </w:pPr>
          </w:p>
        </w:tc>
      </w:tr>
    </w:tbl>
    <w:p w14:paraId="516D6A89">
      <w:pPr>
        <w:widowControl/>
        <w:spacing w:after="200" w:line="276" w:lineRule="auto"/>
        <w:ind w:firstLine="0" w:firstLineChars="0"/>
        <w:jc w:val="left"/>
        <w:rPr>
          <w:rFonts w:ascii="宋体" w:hAnsi="宋体" w:eastAsia="Arial" w:cs="Times New Roman"/>
          <w:b/>
          <w:color w:val="auto"/>
          <w:kern w:val="0"/>
          <w:sz w:val="32"/>
          <w:szCs w:val="32"/>
          <w:highlight w:val="none"/>
        </w:rPr>
      </w:pPr>
      <w:r>
        <w:rPr>
          <w:rFonts w:hint="eastAsia" w:ascii="宋体" w:hAnsi="宋体" w:eastAsia="Arial" w:cs="Times New Roman"/>
          <w:b/>
          <w:color w:val="auto"/>
          <w:kern w:val="0"/>
          <w:sz w:val="32"/>
          <w:szCs w:val="32"/>
          <w:highlight w:val="none"/>
        </w:rPr>
        <w:br w:type="page"/>
      </w:r>
      <w:r>
        <w:rPr>
          <w:rFonts w:hint="eastAsia" w:ascii="宋体" w:hAnsi="宋体" w:eastAsia="Arial" w:cs="Times New Roman"/>
          <w:b/>
          <w:color w:val="auto"/>
          <w:kern w:val="0"/>
          <w:sz w:val="32"/>
          <w:szCs w:val="32"/>
          <w:highlight w:val="none"/>
        </w:rPr>
        <w:t>5、法定代表人授权委托书 （如有）</w:t>
      </w:r>
    </w:p>
    <w:p w14:paraId="7639C4D7">
      <w:pPr>
        <w:widowControl/>
        <w:overflowPunct w:val="0"/>
        <w:adjustRightInd w:val="0"/>
        <w:spacing w:after="200" w:line="276" w:lineRule="auto"/>
        <w:ind w:firstLine="440"/>
        <w:jc w:val="left"/>
        <w:textAlignment w:val="baseline"/>
        <w:rPr>
          <w:rFonts w:ascii="宋体" w:hAnsi="宋体" w:eastAsia="Arial" w:cs="Times New Roman"/>
          <w:color w:val="auto"/>
          <w:kern w:val="0"/>
          <w:sz w:val="22"/>
          <w:highlight w:val="none"/>
        </w:rPr>
      </w:pPr>
    </w:p>
    <w:p w14:paraId="58E2865E">
      <w:pPr>
        <w:widowControl/>
        <w:overflowPunct w:val="0"/>
        <w:adjustRightInd w:val="0"/>
        <w:spacing w:after="200" w:line="276" w:lineRule="auto"/>
        <w:ind w:firstLine="440"/>
        <w:jc w:val="center"/>
        <w:textAlignment w:val="baseline"/>
        <w:rPr>
          <w:rFonts w:ascii="宋体" w:hAnsi="宋体" w:eastAsia="Arial" w:cs="Times New Roman"/>
          <w:color w:val="auto"/>
          <w:kern w:val="0"/>
          <w:sz w:val="22"/>
          <w:highlight w:val="none"/>
        </w:rPr>
      </w:pPr>
    </w:p>
    <w:p w14:paraId="2A4E2529">
      <w:pPr>
        <w:widowControl/>
        <w:overflowPunct w:val="0"/>
        <w:adjustRightInd w:val="0"/>
        <w:spacing w:after="200" w:line="276" w:lineRule="auto"/>
        <w:ind w:firstLine="640"/>
        <w:jc w:val="center"/>
        <w:textAlignment w:val="baseline"/>
        <w:rPr>
          <w:rFonts w:ascii="宋体" w:hAnsi="宋体" w:eastAsia="Arial" w:cs="Times New Roman"/>
          <w:color w:val="auto"/>
          <w:kern w:val="0"/>
          <w:sz w:val="32"/>
          <w:szCs w:val="32"/>
          <w:highlight w:val="none"/>
        </w:rPr>
      </w:pPr>
      <w:r>
        <w:rPr>
          <w:rFonts w:hint="eastAsia" w:ascii="宋体" w:hAnsi="宋体" w:eastAsia="Arial" w:cs="Times New Roman"/>
          <w:color w:val="auto"/>
          <w:kern w:val="0"/>
          <w:sz w:val="32"/>
          <w:szCs w:val="32"/>
          <w:highlight w:val="none"/>
        </w:rPr>
        <w:t>授权委托书</w:t>
      </w:r>
    </w:p>
    <w:p w14:paraId="4670D858">
      <w:pPr>
        <w:widowControl/>
        <w:overflowPunct w:val="0"/>
        <w:adjustRightInd w:val="0"/>
        <w:spacing w:after="200" w:line="276" w:lineRule="auto"/>
        <w:ind w:firstLine="440"/>
        <w:jc w:val="left"/>
        <w:textAlignment w:val="baseline"/>
        <w:rPr>
          <w:rFonts w:ascii="宋体" w:hAnsi="宋体" w:eastAsia="Arial" w:cs="Times New Roman"/>
          <w:color w:val="auto"/>
          <w:kern w:val="0"/>
          <w:sz w:val="22"/>
          <w:highlight w:val="none"/>
        </w:rPr>
      </w:pPr>
    </w:p>
    <w:p w14:paraId="5DE0EFC6">
      <w:pPr>
        <w:widowControl/>
        <w:overflowPunct w:val="0"/>
        <w:adjustRightInd w:val="0"/>
        <w:spacing w:after="200" w:line="276" w:lineRule="auto"/>
        <w:ind w:firstLine="440"/>
        <w:jc w:val="left"/>
        <w:textAlignment w:val="baseline"/>
        <w:rPr>
          <w:rFonts w:ascii="宋体" w:hAnsi="宋体" w:eastAsia="Arial" w:cs="Times New Roman"/>
          <w:color w:val="auto"/>
          <w:kern w:val="0"/>
          <w:sz w:val="22"/>
          <w:highlight w:val="none"/>
        </w:rPr>
      </w:pPr>
    </w:p>
    <w:p w14:paraId="67D239BE">
      <w:pPr>
        <w:widowControl/>
        <w:overflowPunct w:val="0"/>
        <w:adjustRightInd w:val="0"/>
        <w:spacing w:after="200" w:line="46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本授权委托书声明：我</w:t>
      </w:r>
      <w:r>
        <w:rPr>
          <w:rFonts w:hint="eastAsia" w:ascii="宋体" w:hAnsi="宋体" w:cs="宋体"/>
          <w:b/>
          <w:color w:val="auto"/>
          <w:kern w:val="0"/>
          <w:szCs w:val="24"/>
          <w:highlight w:val="none"/>
          <w:u w:val="single"/>
        </w:rPr>
        <w:t xml:space="preserve">        </w:t>
      </w:r>
      <w:r>
        <w:rPr>
          <w:rFonts w:hint="eastAsia" w:ascii="宋体" w:hAnsi="宋体" w:cs="宋体"/>
          <w:color w:val="auto"/>
          <w:kern w:val="0"/>
          <w:szCs w:val="24"/>
          <w:highlight w:val="none"/>
        </w:rPr>
        <w:t>（姓名）系</w:t>
      </w:r>
      <w:r>
        <w:rPr>
          <w:rFonts w:hint="eastAsia" w:ascii="宋体" w:hAnsi="宋体" w:cs="宋体"/>
          <w:b/>
          <w:color w:val="auto"/>
          <w:kern w:val="0"/>
          <w:szCs w:val="24"/>
          <w:highlight w:val="none"/>
          <w:u w:val="single"/>
        </w:rPr>
        <w:t xml:space="preserve">               </w:t>
      </w:r>
      <w:r>
        <w:rPr>
          <w:rFonts w:hint="eastAsia" w:ascii="宋体" w:hAnsi="宋体" w:cs="宋体"/>
          <w:color w:val="auto"/>
          <w:kern w:val="0"/>
          <w:szCs w:val="24"/>
          <w:highlight w:val="none"/>
        </w:rPr>
        <w:t>（响应单位名称）的法定代表人，现授权委托</w:t>
      </w:r>
      <w:r>
        <w:rPr>
          <w:rFonts w:hint="eastAsia" w:ascii="宋体" w:hAnsi="宋体" w:cs="宋体"/>
          <w:b/>
          <w:color w:val="auto"/>
          <w:kern w:val="0"/>
          <w:szCs w:val="24"/>
          <w:highlight w:val="none"/>
          <w:u w:val="single"/>
        </w:rPr>
        <w:t xml:space="preserve">                   </w:t>
      </w:r>
      <w:r>
        <w:rPr>
          <w:rFonts w:hint="eastAsia" w:ascii="宋体" w:hAnsi="宋体" w:cs="宋体"/>
          <w:color w:val="auto"/>
          <w:kern w:val="0"/>
          <w:szCs w:val="24"/>
          <w:highlight w:val="none"/>
        </w:rPr>
        <w:t>（单位名称）的</w:t>
      </w:r>
      <w:r>
        <w:rPr>
          <w:rFonts w:hint="eastAsia" w:ascii="宋体" w:hAnsi="宋体" w:cs="宋体"/>
          <w:b/>
          <w:color w:val="auto"/>
          <w:kern w:val="0"/>
          <w:szCs w:val="24"/>
          <w:highlight w:val="none"/>
          <w:u w:val="single"/>
        </w:rPr>
        <w:t xml:space="preserve">        </w:t>
      </w:r>
      <w:r>
        <w:rPr>
          <w:rFonts w:hint="eastAsia" w:ascii="宋体" w:hAnsi="宋体" w:cs="宋体"/>
          <w:color w:val="auto"/>
          <w:kern w:val="0"/>
          <w:szCs w:val="24"/>
          <w:highlight w:val="none"/>
        </w:rPr>
        <w:t>（姓名）为我公司代理人，以本公司的名义参加</w:t>
      </w:r>
      <w:r>
        <w:rPr>
          <w:rFonts w:hint="eastAsia" w:ascii="宋体" w:hAnsi="宋体" w:cs="宋体"/>
          <w:b/>
          <w:color w:val="auto"/>
          <w:kern w:val="0"/>
          <w:szCs w:val="24"/>
          <w:highlight w:val="none"/>
          <w:u w:val="single"/>
        </w:rPr>
        <w:t>苏州市公共资源交易中心太仓分中心</w:t>
      </w:r>
      <w:r>
        <w:rPr>
          <w:rFonts w:hint="eastAsia" w:ascii="宋体" w:hAnsi="宋体" w:cs="宋体"/>
          <w:color w:val="auto"/>
          <w:kern w:val="0"/>
          <w:szCs w:val="24"/>
          <w:highlight w:val="none"/>
        </w:rPr>
        <w:t>组织实施的编号为</w:t>
      </w:r>
      <w:r>
        <w:rPr>
          <w:rFonts w:hint="eastAsia" w:ascii="宋体" w:hAnsi="宋体" w:cs="宋体"/>
          <w:b/>
          <w:color w:val="auto"/>
          <w:kern w:val="0"/>
          <w:szCs w:val="24"/>
          <w:highlight w:val="none"/>
          <w:u w:val="single"/>
          <w:lang w:eastAsia="zh-CN"/>
        </w:rPr>
        <w:t>JSZC-320585-JZCG-D2025-0129</w:t>
      </w:r>
      <w:r>
        <w:rPr>
          <w:rFonts w:hint="eastAsia" w:ascii="宋体" w:hAnsi="宋体" w:cs="宋体"/>
          <w:color w:val="auto"/>
          <w:kern w:val="0"/>
          <w:szCs w:val="24"/>
          <w:highlight w:val="none"/>
        </w:rPr>
        <w:t>号的采购活动。代理人在开标、评审、合同谈判过程中所签署的一切文件和处理与这有关的一切事务，我均予以承认。</w:t>
      </w:r>
    </w:p>
    <w:p w14:paraId="7C59FAE9">
      <w:pPr>
        <w:widowControl/>
        <w:overflowPunct w:val="0"/>
        <w:adjustRightInd w:val="0"/>
        <w:spacing w:after="200" w:line="46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代理人在授权委托书有效期内签署的所有文件不因授权委托的撤销而失效，除非有撤销授权委托的书面通知，本授权委托书自响应开始至合同履行完毕止。</w:t>
      </w:r>
    </w:p>
    <w:p w14:paraId="1B8A29AF">
      <w:pPr>
        <w:widowControl/>
        <w:overflowPunct w:val="0"/>
        <w:adjustRightInd w:val="0"/>
        <w:spacing w:after="200" w:line="46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代理人无转委托权。特此委托！</w:t>
      </w:r>
    </w:p>
    <w:p w14:paraId="508EA97A">
      <w:pPr>
        <w:widowControl/>
        <w:overflowPunct w:val="0"/>
        <w:adjustRightInd w:val="0"/>
        <w:spacing w:after="200" w:line="460" w:lineRule="exact"/>
        <w:ind w:firstLine="480"/>
        <w:jc w:val="left"/>
        <w:textAlignment w:val="baseline"/>
        <w:rPr>
          <w:rFonts w:hint="eastAsia" w:ascii="宋体" w:hAnsi="宋体" w:cs="宋体"/>
          <w:color w:val="auto"/>
          <w:kern w:val="0"/>
          <w:szCs w:val="24"/>
          <w:highlight w:val="none"/>
        </w:rPr>
      </w:pPr>
    </w:p>
    <w:p w14:paraId="6CF86C6F">
      <w:pPr>
        <w:widowControl/>
        <w:overflowPunct w:val="0"/>
        <w:adjustRightInd w:val="0"/>
        <w:spacing w:after="200" w:line="46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响应单位：（单位盖章）</w:t>
      </w:r>
    </w:p>
    <w:p w14:paraId="5D0193CB">
      <w:pPr>
        <w:widowControl/>
        <w:overflowPunct w:val="0"/>
        <w:adjustRightInd w:val="0"/>
        <w:spacing w:after="200" w:line="46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法定代表人：（签字或盖章）</w:t>
      </w:r>
    </w:p>
    <w:p w14:paraId="6F536B5D">
      <w:pPr>
        <w:widowControl/>
        <w:overflowPunct w:val="0"/>
        <w:adjustRightInd w:val="0"/>
        <w:spacing w:after="200" w:line="46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授权代理人：（签字或盖章）</w:t>
      </w:r>
    </w:p>
    <w:p w14:paraId="6BDCF604">
      <w:pPr>
        <w:widowControl/>
        <w:spacing w:after="200" w:line="460" w:lineRule="exact"/>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响应日期：年   月   日</w:t>
      </w:r>
    </w:p>
    <w:p w14:paraId="381CAB6D">
      <w:pPr>
        <w:widowControl/>
        <w:adjustRightInd w:val="0"/>
        <w:spacing w:after="200" w:line="360" w:lineRule="exact"/>
        <w:ind w:firstLine="440"/>
        <w:jc w:val="left"/>
        <w:textAlignment w:val="baseline"/>
        <w:rPr>
          <w:rFonts w:ascii="宋体" w:hAnsi="宋体" w:eastAsia="Arial" w:cs="Times New Roman"/>
          <w:color w:val="auto"/>
          <w:kern w:val="0"/>
          <w:sz w:val="32"/>
          <w:szCs w:val="32"/>
          <w:highlight w:val="none"/>
        </w:rPr>
      </w:pPr>
      <w:r>
        <w:rPr>
          <w:rFonts w:ascii="宋体" w:hAnsi="宋体" w:eastAsia="Arial" w:cs="Times New Roman"/>
          <w:color w:val="auto"/>
          <w:kern w:val="0"/>
          <w:sz w:val="22"/>
          <w:szCs w:val="24"/>
          <w:highlight w:val="none"/>
        </w:rPr>
        <w:br w:type="page"/>
      </w:r>
      <w:r>
        <w:rPr>
          <w:rFonts w:hint="eastAsia" w:ascii="宋体" w:hAnsi="宋体" w:eastAsia="Arial" w:cs="Times New Roman"/>
          <w:b/>
          <w:color w:val="auto"/>
          <w:kern w:val="0"/>
          <w:sz w:val="32"/>
          <w:szCs w:val="32"/>
          <w:highlight w:val="none"/>
        </w:rPr>
        <w:t>6、开标一览表</w:t>
      </w:r>
    </w:p>
    <w:p w14:paraId="7E10121F">
      <w:pPr>
        <w:widowControl/>
        <w:adjustRightInd w:val="0"/>
        <w:spacing w:after="200" w:line="276" w:lineRule="auto"/>
        <w:ind w:firstLine="442"/>
        <w:jc w:val="left"/>
        <w:textAlignment w:val="baseline"/>
        <w:rPr>
          <w:rFonts w:ascii="宋体" w:hAnsi="宋体" w:eastAsia="Arial" w:cs="Times New Roman"/>
          <w:b/>
          <w:color w:val="auto"/>
          <w:kern w:val="0"/>
          <w:sz w:val="22"/>
          <w:highlight w:val="none"/>
        </w:rPr>
      </w:pPr>
    </w:p>
    <w:p w14:paraId="6BD3CDDE">
      <w:pPr>
        <w:widowControl/>
        <w:adjustRightInd w:val="0"/>
        <w:spacing w:after="200" w:line="276" w:lineRule="auto"/>
        <w:ind w:firstLine="440"/>
        <w:jc w:val="center"/>
        <w:textAlignment w:val="baseline"/>
        <w:rPr>
          <w:rFonts w:ascii="宋体" w:hAnsi="宋体" w:eastAsia="Arial" w:cs="Times New Roman"/>
          <w:color w:val="auto"/>
          <w:kern w:val="0"/>
          <w:sz w:val="22"/>
          <w:highlight w:val="none"/>
        </w:rPr>
      </w:pPr>
    </w:p>
    <w:p w14:paraId="3742261C">
      <w:pPr>
        <w:widowControl/>
        <w:adjustRightInd w:val="0"/>
        <w:spacing w:after="200" w:line="276" w:lineRule="auto"/>
        <w:ind w:firstLine="643"/>
        <w:jc w:val="center"/>
        <w:textAlignment w:val="baseline"/>
        <w:rPr>
          <w:rFonts w:ascii="宋体" w:hAnsi="宋体" w:eastAsia="Arial" w:cs="Times New Roman"/>
          <w:color w:val="auto"/>
          <w:kern w:val="0"/>
          <w:sz w:val="32"/>
          <w:szCs w:val="32"/>
          <w:highlight w:val="none"/>
        </w:rPr>
      </w:pPr>
      <w:r>
        <w:rPr>
          <w:rFonts w:hint="eastAsia" w:ascii="宋体" w:hAnsi="宋体" w:eastAsia="Arial" w:cs="Times New Roman"/>
          <w:b/>
          <w:color w:val="auto"/>
          <w:kern w:val="0"/>
          <w:sz w:val="32"/>
          <w:szCs w:val="32"/>
          <w:highlight w:val="none"/>
        </w:rPr>
        <w:t>开标一览表</w:t>
      </w:r>
    </w:p>
    <w:p w14:paraId="19AB5394">
      <w:pPr>
        <w:widowControl/>
        <w:adjustRightInd w:val="0"/>
        <w:spacing w:after="200" w:line="276" w:lineRule="auto"/>
        <w:ind w:firstLine="480"/>
        <w:jc w:val="left"/>
        <w:textAlignment w:val="baseline"/>
        <w:rPr>
          <w:rFonts w:hint="eastAsia" w:ascii="宋体" w:hAnsi="宋体" w:cs="宋体"/>
          <w:color w:val="auto"/>
          <w:kern w:val="0"/>
          <w:szCs w:val="24"/>
          <w:highlight w:val="none"/>
        </w:rPr>
      </w:pPr>
    </w:p>
    <w:p w14:paraId="6711C388">
      <w:pPr>
        <w:widowControl/>
        <w:adjustRightInd w:val="0"/>
        <w:spacing w:after="200" w:line="276" w:lineRule="auto"/>
        <w:ind w:firstLine="720" w:firstLineChars="300"/>
        <w:jc w:val="left"/>
        <w:textAlignment w:val="baseline"/>
        <w:rPr>
          <w:rFonts w:hint="eastAsia" w:ascii="宋体" w:hAnsi="宋体" w:eastAsia="宋体" w:cs="宋体"/>
          <w:color w:val="auto"/>
          <w:kern w:val="0"/>
          <w:szCs w:val="24"/>
          <w:highlight w:val="none"/>
          <w:lang w:eastAsia="zh-CN"/>
        </w:rPr>
      </w:pPr>
      <w:r>
        <w:rPr>
          <w:rFonts w:hint="eastAsia" w:ascii="宋体" w:hAnsi="宋体" w:cs="宋体"/>
          <w:color w:val="auto"/>
          <w:kern w:val="0"/>
          <w:szCs w:val="24"/>
          <w:highlight w:val="none"/>
        </w:rPr>
        <w:t>项目编号：</w:t>
      </w:r>
      <w:r>
        <w:rPr>
          <w:rFonts w:hint="eastAsia" w:ascii="宋体" w:hAnsi="宋体" w:cs="宋体"/>
          <w:color w:val="auto"/>
          <w:kern w:val="0"/>
          <w:szCs w:val="24"/>
          <w:highlight w:val="none"/>
          <w:lang w:eastAsia="zh-CN"/>
        </w:rPr>
        <w:t>JSZC-320585-JZCG-D2025-0129</w:t>
      </w:r>
    </w:p>
    <w:p w14:paraId="69AAC010">
      <w:pPr>
        <w:widowControl/>
        <w:adjustRightInd w:val="0"/>
        <w:spacing w:after="200" w:line="276" w:lineRule="auto"/>
        <w:ind w:firstLine="720" w:firstLineChars="30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项目名称：苏州港船舶服务平台改造</w:t>
      </w:r>
    </w:p>
    <w:tbl>
      <w:tblPr>
        <w:tblStyle w:val="25"/>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14:paraId="013EB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02" w:hRule="atLeast"/>
        </w:trPr>
        <w:tc>
          <w:tcPr>
            <w:tcW w:w="3119" w:type="dxa"/>
            <w:tcBorders>
              <w:top w:val="single" w:color="auto" w:sz="6" w:space="0"/>
              <w:left w:val="single" w:color="auto" w:sz="6" w:space="0"/>
              <w:bottom w:val="single" w:color="auto" w:sz="6" w:space="0"/>
              <w:right w:val="single" w:color="auto" w:sz="6" w:space="0"/>
            </w:tcBorders>
            <w:vAlign w:val="center"/>
          </w:tcPr>
          <w:p w14:paraId="264B7015">
            <w:pPr>
              <w:adjustRightInd w:val="0"/>
              <w:spacing w:line="360" w:lineRule="exact"/>
              <w:ind w:firstLine="480"/>
              <w:jc w:val="center"/>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标题</w:t>
            </w:r>
          </w:p>
        </w:tc>
        <w:tc>
          <w:tcPr>
            <w:tcW w:w="4252" w:type="dxa"/>
            <w:tcBorders>
              <w:top w:val="single" w:color="auto" w:sz="6" w:space="0"/>
              <w:left w:val="single" w:color="auto" w:sz="6" w:space="0"/>
              <w:bottom w:val="single" w:color="auto" w:sz="4" w:space="0"/>
              <w:right w:val="single" w:color="auto" w:sz="6" w:space="0"/>
            </w:tcBorders>
            <w:vAlign w:val="center"/>
          </w:tcPr>
          <w:p w14:paraId="70E6C483">
            <w:pPr>
              <w:adjustRightInd w:val="0"/>
              <w:spacing w:line="360" w:lineRule="exact"/>
              <w:ind w:firstLine="480"/>
              <w:jc w:val="center"/>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内容</w:t>
            </w:r>
          </w:p>
        </w:tc>
      </w:tr>
      <w:tr w14:paraId="01EBC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3119" w:type="dxa"/>
            <w:tcBorders>
              <w:top w:val="single" w:color="auto" w:sz="6" w:space="0"/>
              <w:left w:val="single" w:color="auto" w:sz="6" w:space="0"/>
              <w:bottom w:val="single" w:color="auto" w:sz="6" w:space="0"/>
              <w:right w:val="single" w:color="auto" w:sz="6" w:space="0"/>
            </w:tcBorders>
            <w:vAlign w:val="center"/>
          </w:tcPr>
          <w:p w14:paraId="03ECEF62">
            <w:pPr>
              <w:adjustRightInd w:val="0"/>
              <w:spacing w:line="360" w:lineRule="exact"/>
              <w:ind w:firstLine="480"/>
              <w:jc w:val="center"/>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报价</w:t>
            </w:r>
          </w:p>
        </w:tc>
        <w:tc>
          <w:tcPr>
            <w:tcW w:w="4252" w:type="dxa"/>
            <w:tcBorders>
              <w:top w:val="single" w:color="auto" w:sz="4" w:space="0"/>
              <w:left w:val="single" w:color="auto" w:sz="6" w:space="0"/>
              <w:bottom w:val="single" w:color="auto" w:sz="4" w:space="0"/>
              <w:right w:val="single" w:color="auto" w:sz="6" w:space="0"/>
            </w:tcBorders>
            <w:vAlign w:val="center"/>
          </w:tcPr>
          <w:p w14:paraId="3ECA3CA1">
            <w:pPr>
              <w:adjustRightInd w:val="0"/>
              <w:spacing w:line="360" w:lineRule="exact"/>
              <w:ind w:firstLine="2880" w:firstLineChars="1200"/>
              <w:rPr>
                <w:rFonts w:hint="eastAsia" w:ascii="宋体" w:hAnsi="宋体" w:cs="宋体"/>
                <w:color w:val="auto"/>
                <w:szCs w:val="24"/>
                <w:highlight w:val="none"/>
                <w:lang w:eastAsia="en-US"/>
              </w:rPr>
            </w:pPr>
            <w:r>
              <w:rPr>
                <w:rFonts w:hint="eastAsia" w:ascii="宋体" w:hAnsi="宋体" w:cs="宋体"/>
                <w:color w:val="auto"/>
                <w:szCs w:val="24"/>
                <w:highlight w:val="none"/>
                <w:lang w:eastAsia="en-US"/>
              </w:rPr>
              <w:t xml:space="preserve">元          </w:t>
            </w:r>
          </w:p>
        </w:tc>
      </w:tr>
    </w:tbl>
    <w:p w14:paraId="0029230D">
      <w:pPr>
        <w:widowControl/>
        <w:adjustRightInd w:val="0"/>
        <w:spacing w:after="200" w:line="276" w:lineRule="auto"/>
        <w:ind w:firstLine="723" w:firstLineChars="300"/>
        <w:jc w:val="left"/>
        <w:textAlignment w:val="baseline"/>
        <w:rPr>
          <w:rFonts w:hint="eastAsia" w:ascii="宋体" w:hAnsi="宋体" w:cs="宋体"/>
          <w:b/>
          <w:color w:val="auto"/>
          <w:kern w:val="0"/>
          <w:szCs w:val="24"/>
          <w:highlight w:val="none"/>
          <w:lang w:eastAsia="en-US"/>
        </w:rPr>
      </w:pPr>
    </w:p>
    <w:p w14:paraId="1C2C62D0">
      <w:pPr>
        <w:widowControl/>
        <w:wordWrap w:val="0"/>
        <w:spacing w:after="200" w:line="500" w:lineRule="exact"/>
        <w:ind w:right="960" w:firstLine="480"/>
        <w:jc w:val="left"/>
        <w:rPr>
          <w:rFonts w:hint="eastAsia" w:ascii="宋体" w:hAnsi="宋体" w:cs="宋体"/>
          <w:color w:val="auto"/>
          <w:kern w:val="0"/>
          <w:szCs w:val="24"/>
          <w:highlight w:val="none"/>
          <w:lang w:eastAsia="en-US"/>
        </w:rPr>
      </w:pPr>
    </w:p>
    <w:p w14:paraId="26B99FB1">
      <w:pPr>
        <w:widowControl/>
        <w:wordWrap w:val="0"/>
        <w:spacing w:after="200" w:line="500" w:lineRule="exact"/>
        <w:ind w:right="960" w:firstLine="3120" w:firstLineChars="130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响应单位（单位盖章）：   </w:t>
      </w:r>
    </w:p>
    <w:p w14:paraId="4DED0867">
      <w:pPr>
        <w:widowControl/>
        <w:wordWrap w:val="0"/>
        <w:spacing w:after="200" w:line="500" w:lineRule="exact"/>
        <w:ind w:right="960" w:firstLine="3120" w:firstLineChars="130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法定代表人或代理人（签字或盖章）： </w:t>
      </w:r>
    </w:p>
    <w:p w14:paraId="7BDFB532">
      <w:pPr>
        <w:widowControl/>
        <w:wordWrap w:val="0"/>
        <w:spacing w:after="200" w:line="500" w:lineRule="exact"/>
        <w:ind w:right="960" w:firstLine="3120" w:firstLineChars="130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响应日期：   年  月  日 </w:t>
      </w:r>
    </w:p>
    <w:p w14:paraId="697E5FB8">
      <w:pPr>
        <w:widowControl/>
        <w:spacing w:after="200" w:line="460" w:lineRule="exact"/>
        <w:ind w:firstLine="482"/>
        <w:jc w:val="left"/>
        <w:rPr>
          <w:rFonts w:hint="eastAsia" w:ascii="宋体" w:hAnsi="宋体" w:cs="宋体"/>
          <w:b/>
          <w:color w:val="auto"/>
          <w:kern w:val="0"/>
          <w:szCs w:val="24"/>
          <w:highlight w:val="none"/>
        </w:rPr>
      </w:pPr>
    </w:p>
    <w:p w14:paraId="7998A3E3">
      <w:pPr>
        <w:widowControl/>
        <w:spacing w:after="200" w:line="460" w:lineRule="exact"/>
        <w:ind w:firstLine="482"/>
        <w:jc w:val="left"/>
        <w:rPr>
          <w:rFonts w:hint="eastAsia" w:ascii="宋体" w:hAnsi="宋体" w:cs="宋体"/>
          <w:b/>
          <w:color w:val="auto"/>
          <w:kern w:val="0"/>
          <w:szCs w:val="24"/>
          <w:highlight w:val="none"/>
        </w:rPr>
      </w:pPr>
      <w:r>
        <w:rPr>
          <w:rFonts w:hint="eastAsia" w:ascii="宋体" w:hAnsi="宋体" w:cs="宋体"/>
          <w:b/>
          <w:color w:val="auto"/>
          <w:kern w:val="0"/>
          <w:szCs w:val="24"/>
          <w:highlight w:val="none"/>
        </w:rPr>
        <w:t xml:space="preserve">注： </w:t>
      </w:r>
      <w:r>
        <w:rPr>
          <w:rFonts w:hint="eastAsia" w:ascii="宋体" w:hAnsi="宋体" w:cs="宋体"/>
          <w:color w:val="auto"/>
          <w:kern w:val="0"/>
          <w:szCs w:val="24"/>
          <w:highlight w:val="none"/>
        </w:rPr>
        <w:t>响应</w:t>
      </w:r>
      <w:r>
        <w:rPr>
          <w:rFonts w:hint="eastAsia" w:ascii="宋体" w:hAnsi="宋体" w:cs="宋体"/>
          <w:color w:val="auto"/>
          <w:kern w:val="1"/>
          <w:szCs w:val="24"/>
          <w:highlight w:val="none"/>
        </w:rPr>
        <w:t>报价一次报定，包括上述货物、服务管理、人员、培训、管理、维护、保险、利润、税金、调试达到正常可使用状态、政策性文件规定及合同包含的所有风险、责任等各项应有费用。</w:t>
      </w:r>
    </w:p>
    <w:p w14:paraId="6E85EAEE">
      <w:pPr>
        <w:widowControl/>
        <w:adjustRightInd w:val="0"/>
        <w:spacing w:after="200" w:line="276" w:lineRule="auto"/>
        <w:ind w:firstLine="660" w:firstLineChars="300"/>
        <w:jc w:val="left"/>
        <w:textAlignment w:val="baseline"/>
        <w:rPr>
          <w:rFonts w:ascii="宋体" w:hAnsi="宋体" w:eastAsia="Arial" w:cs="Times New Roman"/>
          <w:b/>
          <w:color w:val="auto"/>
          <w:kern w:val="0"/>
          <w:sz w:val="22"/>
          <w:highlight w:val="none"/>
        </w:rPr>
      </w:pPr>
    </w:p>
    <w:p w14:paraId="6BD73639">
      <w:pPr>
        <w:widowControl/>
        <w:spacing w:after="200" w:line="276" w:lineRule="auto"/>
        <w:ind w:firstLine="562"/>
        <w:jc w:val="left"/>
        <w:rPr>
          <w:rFonts w:ascii="宋体" w:hAnsi="宋体" w:eastAsia="Arial" w:cs="Times New Roman"/>
          <w:b/>
          <w:color w:val="auto"/>
          <w:kern w:val="0"/>
          <w:sz w:val="28"/>
          <w:szCs w:val="32"/>
          <w:highlight w:val="none"/>
        </w:rPr>
      </w:pPr>
      <w:r>
        <w:rPr>
          <w:rFonts w:hint="eastAsia" w:ascii="宋体" w:hAnsi="宋体" w:eastAsia="Arial" w:cs="Times New Roman"/>
          <w:b/>
          <w:color w:val="auto"/>
          <w:kern w:val="0"/>
          <w:sz w:val="28"/>
          <w:szCs w:val="32"/>
          <w:highlight w:val="none"/>
        </w:rPr>
        <w:br w:type="page"/>
      </w:r>
    </w:p>
    <w:p w14:paraId="1A408680">
      <w:pPr>
        <w:widowControl/>
        <w:snapToGrid w:val="0"/>
        <w:spacing w:after="200" w:line="276" w:lineRule="auto"/>
        <w:ind w:firstLine="562"/>
        <w:jc w:val="left"/>
        <w:rPr>
          <w:rFonts w:ascii="宋体" w:hAnsi="宋体" w:eastAsia="Arial" w:cs="Times New Roman"/>
          <w:b/>
          <w:color w:val="auto"/>
          <w:kern w:val="0"/>
          <w:sz w:val="28"/>
          <w:szCs w:val="32"/>
          <w:highlight w:val="none"/>
        </w:rPr>
      </w:pPr>
      <w:r>
        <w:rPr>
          <w:rFonts w:hint="eastAsia" w:ascii="宋体" w:hAnsi="宋体" w:eastAsia="Arial" w:cs="Times New Roman"/>
          <w:b/>
          <w:color w:val="auto"/>
          <w:kern w:val="0"/>
          <w:sz w:val="28"/>
          <w:szCs w:val="32"/>
          <w:highlight w:val="none"/>
        </w:rPr>
        <w:t>7、响应报价明细表</w:t>
      </w:r>
    </w:p>
    <w:p w14:paraId="4EB3B41F">
      <w:pPr>
        <w:widowControl/>
        <w:snapToGrid w:val="0"/>
        <w:spacing w:after="200" w:line="276" w:lineRule="auto"/>
        <w:ind w:firstLine="562"/>
        <w:jc w:val="left"/>
        <w:rPr>
          <w:rFonts w:ascii="宋体" w:hAnsi="宋体" w:eastAsia="Arial" w:cs="Times New Roman"/>
          <w:b/>
          <w:color w:val="auto"/>
          <w:kern w:val="0"/>
          <w:sz w:val="28"/>
          <w:szCs w:val="32"/>
          <w:highlight w:val="none"/>
        </w:rPr>
      </w:pPr>
    </w:p>
    <w:p w14:paraId="3A5FAB17">
      <w:pPr>
        <w:widowControl/>
        <w:snapToGrid w:val="0"/>
        <w:spacing w:after="200" w:line="276" w:lineRule="auto"/>
        <w:ind w:firstLine="3001" w:firstLineChars="1000"/>
        <w:jc w:val="left"/>
        <w:rPr>
          <w:rFonts w:ascii="宋体" w:hAnsi="宋体" w:eastAsia="Arial" w:cs="Times New Roman"/>
          <w:b/>
          <w:color w:val="auto"/>
          <w:kern w:val="0"/>
          <w:sz w:val="30"/>
          <w:szCs w:val="30"/>
          <w:highlight w:val="none"/>
        </w:rPr>
      </w:pPr>
      <w:r>
        <w:rPr>
          <w:rFonts w:hint="eastAsia" w:ascii="宋体" w:hAnsi="宋体" w:eastAsia="Arial" w:cs="Times New Roman"/>
          <w:b/>
          <w:color w:val="auto"/>
          <w:kern w:val="0"/>
          <w:sz w:val="30"/>
          <w:szCs w:val="30"/>
          <w:highlight w:val="none"/>
        </w:rPr>
        <w:t>（一）响应报价明细表</w:t>
      </w:r>
    </w:p>
    <w:p w14:paraId="612EF2DA">
      <w:pPr>
        <w:widowControl/>
        <w:snapToGrid w:val="0"/>
        <w:spacing w:after="200" w:line="276" w:lineRule="auto"/>
        <w:ind w:firstLine="2409" w:firstLineChars="1000"/>
        <w:jc w:val="left"/>
        <w:rPr>
          <w:rFonts w:hint="eastAsia" w:ascii="宋体" w:hAnsi="宋体" w:cs="宋体"/>
          <w:b/>
          <w:color w:val="auto"/>
          <w:kern w:val="0"/>
          <w:szCs w:val="24"/>
          <w:highlight w:val="none"/>
        </w:rPr>
      </w:pPr>
    </w:p>
    <w:tbl>
      <w:tblPr>
        <w:tblStyle w:val="25"/>
        <w:tblW w:w="9087"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847"/>
        <w:gridCol w:w="1106"/>
        <w:gridCol w:w="1020"/>
        <w:gridCol w:w="2081"/>
        <w:gridCol w:w="1476"/>
        <w:gridCol w:w="852"/>
      </w:tblGrid>
      <w:tr w14:paraId="10C37FB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705" w:type="dxa"/>
            <w:tcBorders>
              <w:top w:val="single" w:color="auto" w:sz="6" w:space="0"/>
              <w:bottom w:val="single" w:color="auto" w:sz="6" w:space="0"/>
              <w:right w:val="single" w:color="auto" w:sz="6" w:space="0"/>
            </w:tcBorders>
            <w:vAlign w:val="center"/>
          </w:tcPr>
          <w:p w14:paraId="26FB3451">
            <w:pPr>
              <w:widowControl/>
              <w:autoSpaceDE w:val="0"/>
              <w:autoSpaceDN w:val="0"/>
              <w:adjustRightInd w:val="0"/>
              <w:spacing w:after="200" w:line="276" w:lineRule="auto"/>
              <w:ind w:firstLine="0" w:firstLineChars="0"/>
              <w:jc w:val="center"/>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序号</w:t>
            </w:r>
          </w:p>
        </w:tc>
        <w:tc>
          <w:tcPr>
            <w:tcW w:w="1847" w:type="dxa"/>
            <w:tcBorders>
              <w:top w:val="single" w:color="auto" w:sz="6" w:space="0"/>
              <w:left w:val="single" w:color="auto" w:sz="6" w:space="0"/>
              <w:bottom w:val="single" w:color="auto" w:sz="6" w:space="0"/>
              <w:right w:val="single" w:color="auto" w:sz="6" w:space="0"/>
            </w:tcBorders>
            <w:vAlign w:val="center"/>
          </w:tcPr>
          <w:p w14:paraId="14A45D91">
            <w:pPr>
              <w:widowControl/>
              <w:autoSpaceDE w:val="0"/>
              <w:autoSpaceDN w:val="0"/>
              <w:adjustRightInd w:val="0"/>
              <w:spacing w:after="200" w:line="276" w:lineRule="auto"/>
              <w:ind w:firstLine="0" w:firstLineChars="0"/>
              <w:jc w:val="center"/>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分项名称</w:t>
            </w:r>
          </w:p>
        </w:tc>
        <w:tc>
          <w:tcPr>
            <w:tcW w:w="1106" w:type="dxa"/>
            <w:tcBorders>
              <w:top w:val="single" w:color="auto" w:sz="6" w:space="0"/>
              <w:left w:val="single" w:color="auto" w:sz="6" w:space="0"/>
              <w:bottom w:val="single" w:color="auto" w:sz="6" w:space="0"/>
              <w:right w:val="single" w:color="auto" w:sz="6" w:space="0"/>
            </w:tcBorders>
            <w:vAlign w:val="center"/>
          </w:tcPr>
          <w:p w14:paraId="543D8C9B">
            <w:pPr>
              <w:widowControl/>
              <w:autoSpaceDE w:val="0"/>
              <w:autoSpaceDN w:val="0"/>
              <w:adjustRightInd w:val="0"/>
              <w:spacing w:after="200" w:line="276" w:lineRule="auto"/>
              <w:ind w:firstLine="0" w:firstLineChars="0"/>
              <w:jc w:val="center"/>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数量</w:t>
            </w:r>
          </w:p>
        </w:tc>
        <w:tc>
          <w:tcPr>
            <w:tcW w:w="1020" w:type="dxa"/>
            <w:tcBorders>
              <w:top w:val="single" w:color="auto" w:sz="6" w:space="0"/>
              <w:left w:val="single" w:color="auto" w:sz="6" w:space="0"/>
              <w:bottom w:val="single" w:color="auto" w:sz="6" w:space="0"/>
              <w:right w:val="single" w:color="auto" w:sz="6" w:space="0"/>
            </w:tcBorders>
            <w:vAlign w:val="center"/>
          </w:tcPr>
          <w:p w14:paraId="05800F91">
            <w:pPr>
              <w:widowControl/>
              <w:autoSpaceDE w:val="0"/>
              <w:autoSpaceDN w:val="0"/>
              <w:adjustRightInd w:val="0"/>
              <w:spacing w:after="200" w:line="276" w:lineRule="auto"/>
              <w:ind w:firstLine="0" w:firstLineChars="0"/>
              <w:jc w:val="center"/>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单位</w:t>
            </w:r>
          </w:p>
        </w:tc>
        <w:tc>
          <w:tcPr>
            <w:tcW w:w="2081" w:type="dxa"/>
            <w:tcBorders>
              <w:top w:val="single" w:color="auto" w:sz="6" w:space="0"/>
              <w:left w:val="single" w:color="auto" w:sz="6" w:space="0"/>
              <w:bottom w:val="single" w:color="auto" w:sz="6" w:space="0"/>
              <w:right w:val="single" w:color="auto" w:sz="4" w:space="0"/>
            </w:tcBorders>
            <w:vAlign w:val="center"/>
          </w:tcPr>
          <w:p w14:paraId="76808A13">
            <w:pPr>
              <w:widowControl/>
              <w:autoSpaceDE w:val="0"/>
              <w:autoSpaceDN w:val="0"/>
              <w:adjustRightInd w:val="0"/>
              <w:spacing w:after="200" w:line="276" w:lineRule="auto"/>
              <w:ind w:firstLine="0" w:firstLineChars="0"/>
              <w:jc w:val="center"/>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单价（元）</w:t>
            </w:r>
          </w:p>
        </w:tc>
        <w:tc>
          <w:tcPr>
            <w:tcW w:w="1476" w:type="dxa"/>
            <w:tcBorders>
              <w:top w:val="single" w:color="auto" w:sz="6" w:space="0"/>
              <w:left w:val="single" w:color="auto" w:sz="6" w:space="0"/>
              <w:bottom w:val="single" w:color="auto" w:sz="6" w:space="0"/>
              <w:right w:val="single" w:color="auto" w:sz="6" w:space="0"/>
            </w:tcBorders>
            <w:vAlign w:val="center"/>
          </w:tcPr>
          <w:p w14:paraId="7BB60AE6">
            <w:pPr>
              <w:widowControl/>
              <w:autoSpaceDE w:val="0"/>
              <w:autoSpaceDN w:val="0"/>
              <w:adjustRightInd w:val="0"/>
              <w:spacing w:after="200" w:line="276" w:lineRule="auto"/>
              <w:ind w:firstLine="0" w:firstLineChars="0"/>
              <w:jc w:val="center"/>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总价（元）</w:t>
            </w:r>
          </w:p>
        </w:tc>
        <w:tc>
          <w:tcPr>
            <w:tcW w:w="852" w:type="dxa"/>
            <w:tcBorders>
              <w:top w:val="single" w:color="auto" w:sz="6" w:space="0"/>
              <w:left w:val="single" w:color="auto" w:sz="6" w:space="0"/>
              <w:bottom w:val="single" w:color="auto" w:sz="6" w:space="0"/>
              <w:right w:val="single" w:color="auto" w:sz="4" w:space="0"/>
            </w:tcBorders>
            <w:vAlign w:val="center"/>
          </w:tcPr>
          <w:p w14:paraId="50934FDE">
            <w:pPr>
              <w:widowControl/>
              <w:autoSpaceDE w:val="0"/>
              <w:autoSpaceDN w:val="0"/>
              <w:adjustRightInd w:val="0"/>
              <w:spacing w:after="200" w:line="276" w:lineRule="auto"/>
              <w:ind w:firstLine="0" w:firstLineChars="0"/>
              <w:jc w:val="center"/>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备注</w:t>
            </w:r>
          </w:p>
        </w:tc>
      </w:tr>
      <w:tr w14:paraId="76C0664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05" w:type="dxa"/>
            <w:tcBorders>
              <w:top w:val="single" w:color="auto" w:sz="6" w:space="0"/>
              <w:bottom w:val="single" w:color="auto" w:sz="6" w:space="0"/>
              <w:right w:val="single" w:color="auto" w:sz="6" w:space="0"/>
            </w:tcBorders>
            <w:vAlign w:val="center"/>
          </w:tcPr>
          <w:p w14:paraId="370871A1">
            <w:pPr>
              <w:widowControl/>
              <w:autoSpaceDE w:val="0"/>
              <w:autoSpaceDN w:val="0"/>
              <w:adjustRightInd w:val="0"/>
              <w:spacing w:after="200" w:line="276" w:lineRule="auto"/>
              <w:ind w:firstLine="0" w:firstLineChars="0"/>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1</w:t>
            </w:r>
          </w:p>
        </w:tc>
        <w:tc>
          <w:tcPr>
            <w:tcW w:w="1847" w:type="dxa"/>
            <w:tcBorders>
              <w:top w:val="single" w:color="auto" w:sz="6" w:space="0"/>
              <w:left w:val="single" w:color="auto" w:sz="6" w:space="0"/>
              <w:bottom w:val="single" w:color="auto" w:sz="6" w:space="0"/>
              <w:right w:val="single" w:color="auto" w:sz="6" w:space="0"/>
            </w:tcBorders>
            <w:vAlign w:val="center"/>
          </w:tcPr>
          <w:p w14:paraId="7250EDE5">
            <w:pPr>
              <w:widowControl/>
              <w:autoSpaceDE w:val="0"/>
              <w:autoSpaceDN w:val="0"/>
              <w:adjustRightInd w:val="0"/>
              <w:spacing w:after="200" w:line="380" w:lineRule="exact"/>
              <w:ind w:right="-228" w:rightChars="-95" w:firstLine="482"/>
              <w:jc w:val="center"/>
              <w:rPr>
                <w:rFonts w:hint="eastAsia" w:ascii="宋体" w:hAnsi="宋体" w:cs="宋体"/>
                <w:b/>
                <w:bCs/>
                <w:color w:val="auto"/>
                <w:kern w:val="0"/>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1FC51C65">
            <w:pPr>
              <w:widowControl/>
              <w:autoSpaceDE w:val="0"/>
              <w:autoSpaceDN w:val="0"/>
              <w:adjustRightInd w:val="0"/>
              <w:spacing w:after="200" w:line="380" w:lineRule="exact"/>
              <w:ind w:firstLine="482"/>
              <w:jc w:val="center"/>
              <w:rPr>
                <w:rFonts w:hint="eastAsia" w:ascii="宋体" w:hAnsi="宋体" w:cs="宋体"/>
                <w:b/>
                <w:bCs/>
                <w:color w:val="auto"/>
                <w:kern w:val="0"/>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7820F9D5">
            <w:pPr>
              <w:widowControl/>
              <w:autoSpaceDE w:val="0"/>
              <w:autoSpaceDN w:val="0"/>
              <w:adjustRightInd w:val="0"/>
              <w:spacing w:after="200" w:line="380" w:lineRule="exact"/>
              <w:ind w:firstLine="482"/>
              <w:jc w:val="center"/>
              <w:rPr>
                <w:rFonts w:hint="eastAsia" w:ascii="宋体" w:hAnsi="宋体" w:cs="宋体"/>
                <w:b/>
                <w:bCs/>
                <w:color w:val="auto"/>
                <w:kern w:val="0"/>
                <w:szCs w:val="24"/>
                <w:highlight w:val="none"/>
                <w:lang w:eastAsia="en-US"/>
              </w:rPr>
            </w:pPr>
          </w:p>
        </w:tc>
        <w:tc>
          <w:tcPr>
            <w:tcW w:w="2081" w:type="dxa"/>
            <w:tcBorders>
              <w:top w:val="single" w:color="auto" w:sz="6" w:space="0"/>
              <w:left w:val="single" w:color="auto" w:sz="6" w:space="0"/>
              <w:bottom w:val="single" w:color="auto" w:sz="6" w:space="0"/>
              <w:right w:val="single" w:color="auto" w:sz="4" w:space="0"/>
            </w:tcBorders>
            <w:vAlign w:val="center"/>
          </w:tcPr>
          <w:p w14:paraId="3D4CA1D0">
            <w:pPr>
              <w:widowControl/>
              <w:autoSpaceDE w:val="0"/>
              <w:autoSpaceDN w:val="0"/>
              <w:adjustRightInd w:val="0"/>
              <w:spacing w:after="200" w:line="380" w:lineRule="exact"/>
              <w:ind w:firstLine="482"/>
              <w:jc w:val="center"/>
              <w:rPr>
                <w:rFonts w:hint="eastAsia" w:ascii="宋体" w:hAnsi="宋体" w:cs="宋体"/>
                <w:b/>
                <w:bCs/>
                <w:color w:val="auto"/>
                <w:kern w:val="0"/>
                <w:szCs w:val="24"/>
                <w:highlight w:val="none"/>
                <w:lang w:eastAsia="en-US"/>
              </w:rPr>
            </w:pPr>
          </w:p>
        </w:tc>
        <w:tc>
          <w:tcPr>
            <w:tcW w:w="1476" w:type="dxa"/>
            <w:tcBorders>
              <w:top w:val="single" w:color="auto" w:sz="6" w:space="0"/>
              <w:left w:val="single" w:color="auto" w:sz="6" w:space="0"/>
              <w:bottom w:val="single" w:color="auto" w:sz="6" w:space="0"/>
              <w:right w:val="single" w:color="auto" w:sz="6" w:space="0"/>
            </w:tcBorders>
          </w:tcPr>
          <w:p w14:paraId="6896EBFC">
            <w:pPr>
              <w:widowControl/>
              <w:autoSpaceDE w:val="0"/>
              <w:autoSpaceDN w:val="0"/>
              <w:adjustRightInd w:val="0"/>
              <w:spacing w:after="200" w:line="380" w:lineRule="exact"/>
              <w:ind w:firstLine="482"/>
              <w:jc w:val="center"/>
              <w:rPr>
                <w:rFonts w:hint="eastAsia" w:ascii="宋体" w:hAnsi="宋体" w:cs="宋体"/>
                <w:b/>
                <w:bCs/>
                <w:color w:val="auto"/>
                <w:kern w:val="0"/>
                <w:szCs w:val="24"/>
                <w:highlight w:val="none"/>
                <w:lang w:eastAsia="en-US"/>
              </w:rPr>
            </w:pPr>
          </w:p>
        </w:tc>
        <w:tc>
          <w:tcPr>
            <w:tcW w:w="852" w:type="dxa"/>
            <w:tcBorders>
              <w:top w:val="single" w:color="auto" w:sz="6" w:space="0"/>
              <w:left w:val="single" w:color="auto" w:sz="6" w:space="0"/>
              <w:bottom w:val="single" w:color="auto" w:sz="6" w:space="0"/>
              <w:right w:val="single" w:color="auto" w:sz="4" w:space="0"/>
            </w:tcBorders>
            <w:vAlign w:val="center"/>
          </w:tcPr>
          <w:p w14:paraId="7CE5F754">
            <w:pPr>
              <w:widowControl/>
              <w:autoSpaceDE w:val="0"/>
              <w:autoSpaceDN w:val="0"/>
              <w:adjustRightInd w:val="0"/>
              <w:spacing w:after="200" w:line="380" w:lineRule="exact"/>
              <w:ind w:firstLine="482"/>
              <w:jc w:val="center"/>
              <w:rPr>
                <w:rFonts w:hint="eastAsia" w:ascii="宋体" w:hAnsi="宋体" w:cs="宋体"/>
                <w:b/>
                <w:bCs/>
                <w:color w:val="auto"/>
                <w:kern w:val="0"/>
                <w:szCs w:val="24"/>
                <w:highlight w:val="none"/>
                <w:lang w:eastAsia="en-US"/>
              </w:rPr>
            </w:pPr>
          </w:p>
        </w:tc>
      </w:tr>
      <w:tr w14:paraId="3D90970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4AB32610">
            <w:pPr>
              <w:widowControl/>
              <w:autoSpaceDE w:val="0"/>
              <w:autoSpaceDN w:val="0"/>
              <w:adjustRightInd w:val="0"/>
              <w:spacing w:after="200" w:line="276" w:lineRule="auto"/>
              <w:ind w:firstLine="0" w:firstLineChars="0"/>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2</w:t>
            </w:r>
          </w:p>
        </w:tc>
        <w:tc>
          <w:tcPr>
            <w:tcW w:w="1847" w:type="dxa"/>
            <w:tcBorders>
              <w:top w:val="single" w:color="auto" w:sz="6" w:space="0"/>
              <w:left w:val="single" w:color="auto" w:sz="6" w:space="0"/>
              <w:bottom w:val="single" w:color="auto" w:sz="6" w:space="0"/>
              <w:right w:val="single" w:color="auto" w:sz="6" w:space="0"/>
            </w:tcBorders>
            <w:vAlign w:val="center"/>
          </w:tcPr>
          <w:p w14:paraId="6A8E8928">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40C6BC54">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5617620F">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2081" w:type="dxa"/>
            <w:tcBorders>
              <w:top w:val="single" w:color="auto" w:sz="6" w:space="0"/>
              <w:left w:val="single" w:color="auto" w:sz="6" w:space="0"/>
              <w:bottom w:val="single" w:color="auto" w:sz="6" w:space="0"/>
              <w:right w:val="single" w:color="auto" w:sz="4" w:space="0"/>
            </w:tcBorders>
            <w:vAlign w:val="center"/>
          </w:tcPr>
          <w:p w14:paraId="0F361F34">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1476" w:type="dxa"/>
            <w:tcBorders>
              <w:top w:val="single" w:color="auto" w:sz="6" w:space="0"/>
              <w:left w:val="single" w:color="auto" w:sz="6" w:space="0"/>
              <w:bottom w:val="single" w:color="auto" w:sz="6" w:space="0"/>
              <w:right w:val="single" w:color="auto" w:sz="6" w:space="0"/>
            </w:tcBorders>
          </w:tcPr>
          <w:p w14:paraId="346B1659">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852" w:type="dxa"/>
            <w:tcBorders>
              <w:top w:val="single" w:color="auto" w:sz="6" w:space="0"/>
              <w:left w:val="single" w:color="auto" w:sz="6" w:space="0"/>
              <w:bottom w:val="single" w:color="auto" w:sz="6" w:space="0"/>
              <w:right w:val="single" w:color="auto" w:sz="4" w:space="0"/>
            </w:tcBorders>
            <w:vAlign w:val="center"/>
          </w:tcPr>
          <w:p w14:paraId="05773D95">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r>
      <w:tr w14:paraId="0CC9078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71C8BB51">
            <w:pPr>
              <w:widowControl/>
              <w:autoSpaceDE w:val="0"/>
              <w:autoSpaceDN w:val="0"/>
              <w:adjustRightInd w:val="0"/>
              <w:spacing w:after="200" w:line="276" w:lineRule="auto"/>
              <w:ind w:firstLine="0" w:firstLineChars="0"/>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3</w:t>
            </w:r>
          </w:p>
        </w:tc>
        <w:tc>
          <w:tcPr>
            <w:tcW w:w="1847" w:type="dxa"/>
            <w:tcBorders>
              <w:top w:val="single" w:color="auto" w:sz="6" w:space="0"/>
              <w:left w:val="single" w:color="auto" w:sz="6" w:space="0"/>
              <w:bottom w:val="single" w:color="auto" w:sz="6" w:space="0"/>
              <w:right w:val="single" w:color="auto" w:sz="6" w:space="0"/>
            </w:tcBorders>
            <w:vAlign w:val="center"/>
          </w:tcPr>
          <w:p w14:paraId="422E2C42">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289DD916">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61539691">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2081" w:type="dxa"/>
            <w:tcBorders>
              <w:top w:val="single" w:color="auto" w:sz="6" w:space="0"/>
              <w:left w:val="single" w:color="auto" w:sz="6" w:space="0"/>
              <w:bottom w:val="single" w:color="auto" w:sz="6" w:space="0"/>
              <w:right w:val="single" w:color="auto" w:sz="4" w:space="0"/>
            </w:tcBorders>
            <w:vAlign w:val="center"/>
          </w:tcPr>
          <w:p w14:paraId="10E4EA3E">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1476" w:type="dxa"/>
            <w:tcBorders>
              <w:top w:val="single" w:color="auto" w:sz="6" w:space="0"/>
              <w:left w:val="single" w:color="auto" w:sz="6" w:space="0"/>
              <w:bottom w:val="single" w:color="auto" w:sz="6" w:space="0"/>
              <w:right w:val="single" w:color="auto" w:sz="6" w:space="0"/>
            </w:tcBorders>
          </w:tcPr>
          <w:p w14:paraId="560367BA">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852" w:type="dxa"/>
            <w:tcBorders>
              <w:top w:val="single" w:color="auto" w:sz="6" w:space="0"/>
              <w:left w:val="single" w:color="auto" w:sz="6" w:space="0"/>
              <w:bottom w:val="single" w:color="auto" w:sz="6" w:space="0"/>
              <w:right w:val="single" w:color="auto" w:sz="4" w:space="0"/>
            </w:tcBorders>
            <w:vAlign w:val="center"/>
          </w:tcPr>
          <w:p w14:paraId="1CFE27DF">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r>
      <w:tr w14:paraId="3AAB95B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PrEx>
        <w:trPr>
          <w:trHeight w:val="480" w:hRule="atLeast"/>
        </w:trPr>
        <w:tc>
          <w:tcPr>
            <w:tcW w:w="705" w:type="dxa"/>
            <w:tcBorders>
              <w:top w:val="single" w:color="auto" w:sz="6" w:space="0"/>
              <w:bottom w:val="single" w:color="auto" w:sz="6" w:space="0"/>
              <w:right w:val="single" w:color="auto" w:sz="6" w:space="0"/>
            </w:tcBorders>
            <w:vAlign w:val="center"/>
          </w:tcPr>
          <w:p w14:paraId="53CB817A">
            <w:pPr>
              <w:widowControl/>
              <w:autoSpaceDE w:val="0"/>
              <w:autoSpaceDN w:val="0"/>
              <w:adjustRightInd w:val="0"/>
              <w:spacing w:after="200" w:line="276" w:lineRule="auto"/>
              <w:ind w:firstLine="0" w:firstLineChars="0"/>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w:t>
            </w:r>
          </w:p>
        </w:tc>
        <w:tc>
          <w:tcPr>
            <w:tcW w:w="1847" w:type="dxa"/>
            <w:tcBorders>
              <w:top w:val="single" w:color="auto" w:sz="6" w:space="0"/>
              <w:left w:val="single" w:color="auto" w:sz="6" w:space="0"/>
              <w:bottom w:val="single" w:color="auto" w:sz="6" w:space="0"/>
              <w:right w:val="single" w:color="auto" w:sz="6" w:space="0"/>
            </w:tcBorders>
            <w:vAlign w:val="center"/>
          </w:tcPr>
          <w:p w14:paraId="35AA773A">
            <w:pPr>
              <w:widowControl/>
              <w:autoSpaceDE w:val="0"/>
              <w:autoSpaceDN w:val="0"/>
              <w:adjustRightInd w:val="0"/>
              <w:spacing w:after="200" w:line="276" w:lineRule="auto"/>
              <w:ind w:firstLine="480"/>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w:t>
            </w:r>
          </w:p>
        </w:tc>
        <w:tc>
          <w:tcPr>
            <w:tcW w:w="1106" w:type="dxa"/>
            <w:tcBorders>
              <w:top w:val="single" w:color="auto" w:sz="6" w:space="0"/>
              <w:left w:val="single" w:color="auto" w:sz="6" w:space="0"/>
              <w:bottom w:val="single" w:color="auto" w:sz="6" w:space="0"/>
              <w:right w:val="single" w:color="auto" w:sz="6" w:space="0"/>
            </w:tcBorders>
            <w:vAlign w:val="center"/>
          </w:tcPr>
          <w:p w14:paraId="6636D7A5">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45880A99">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2081" w:type="dxa"/>
            <w:tcBorders>
              <w:top w:val="single" w:color="auto" w:sz="6" w:space="0"/>
              <w:left w:val="single" w:color="auto" w:sz="6" w:space="0"/>
              <w:bottom w:val="single" w:color="auto" w:sz="6" w:space="0"/>
              <w:right w:val="single" w:color="auto" w:sz="4" w:space="0"/>
            </w:tcBorders>
            <w:vAlign w:val="center"/>
          </w:tcPr>
          <w:p w14:paraId="1B1267B6">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1476" w:type="dxa"/>
            <w:tcBorders>
              <w:top w:val="single" w:color="auto" w:sz="6" w:space="0"/>
              <w:left w:val="single" w:color="auto" w:sz="6" w:space="0"/>
              <w:bottom w:val="single" w:color="auto" w:sz="6" w:space="0"/>
              <w:right w:val="single" w:color="auto" w:sz="6" w:space="0"/>
            </w:tcBorders>
          </w:tcPr>
          <w:p w14:paraId="62CE4593">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c>
          <w:tcPr>
            <w:tcW w:w="852" w:type="dxa"/>
            <w:tcBorders>
              <w:top w:val="single" w:color="auto" w:sz="6" w:space="0"/>
              <w:left w:val="single" w:color="auto" w:sz="6" w:space="0"/>
              <w:bottom w:val="single" w:color="auto" w:sz="6" w:space="0"/>
              <w:right w:val="single" w:color="auto" w:sz="4" w:space="0"/>
            </w:tcBorders>
            <w:vAlign w:val="center"/>
          </w:tcPr>
          <w:p w14:paraId="7E2D5D03">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p>
        </w:tc>
      </w:tr>
      <w:tr w14:paraId="454010B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52" w:type="dxa"/>
            <w:gridSpan w:val="2"/>
            <w:tcBorders>
              <w:top w:val="single" w:color="auto" w:sz="6" w:space="0"/>
              <w:bottom w:val="single" w:color="auto" w:sz="6" w:space="0"/>
              <w:right w:val="single" w:color="auto" w:sz="6" w:space="0"/>
            </w:tcBorders>
            <w:vAlign w:val="center"/>
          </w:tcPr>
          <w:p w14:paraId="5FAAAE8E">
            <w:pPr>
              <w:widowControl/>
              <w:autoSpaceDE w:val="0"/>
              <w:autoSpaceDN w:val="0"/>
              <w:adjustRightInd w:val="0"/>
              <w:spacing w:after="200" w:line="276" w:lineRule="auto"/>
              <w:ind w:firstLine="480"/>
              <w:jc w:val="center"/>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响应总报价</w:t>
            </w:r>
          </w:p>
        </w:tc>
        <w:tc>
          <w:tcPr>
            <w:tcW w:w="6535" w:type="dxa"/>
            <w:gridSpan w:val="5"/>
            <w:tcBorders>
              <w:top w:val="single" w:color="auto" w:sz="6" w:space="0"/>
              <w:left w:val="single" w:color="auto" w:sz="6" w:space="0"/>
              <w:bottom w:val="single" w:color="auto" w:sz="6" w:space="0"/>
              <w:right w:val="single" w:color="auto" w:sz="4" w:space="0"/>
            </w:tcBorders>
            <w:vAlign w:val="center"/>
          </w:tcPr>
          <w:p w14:paraId="2674CC5D">
            <w:pPr>
              <w:widowControl/>
              <w:autoSpaceDE w:val="0"/>
              <w:autoSpaceDN w:val="0"/>
              <w:adjustRightInd w:val="0"/>
              <w:spacing w:after="200" w:line="276" w:lineRule="auto"/>
              <w:ind w:firstLine="480"/>
              <w:jc w:val="left"/>
              <w:rPr>
                <w:rFonts w:hint="eastAsia" w:ascii="宋体" w:hAnsi="宋体" w:cs="宋体"/>
                <w:bCs/>
                <w:color w:val="auto"/>
                <w:kern w:val="0"/>
                <w:szCs w:val="24"/>
                <w:highlight w:val="none"/>
                <w:lang w:eastAsia="en-US"/>
              </w:rPr>
            </w:pPr>
            <w:r>
              <w:rPr>
                <w:rFonts w:hint="eastAsia" w:ascii="宋体" w:hAnsi="宋体" w:cs="宋体"/>
                <w:bCs/>
                <w:color w:val="auto"/>
                <w:kern w:val="0"/>
                <w:szCs w:val="24"/>
                <w:highlight w:val="none"/>
                <w:lang w:eastAsia="en-US"/>
              </w:rPr>
              <w:t>大写：       元 ； 小写：        元</w:t>
            </w:r>
          </w:p>
        </w:tc>
      </w:tr>
    </w:tbl>
    <w:p w14:paraId="30A43A33">
      <w:pPr>
        <w:widowControl/>
        <w:snapToGrid w:val="0"/>
        <w:spacing w:after="200" w:line="500" w:lineRule="exact"/>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注：1.本表报价的合计金额应与开标一览表报价一致</w:t>
      </w:r>
    </w:p>
    <w:p w14:paraId="72FF5668">
      <w:pPr>
        <w:pStyle w:val="11"/>
        <w:ind w:firstLine="480"/>
        <w:rPr>
          <w:color w:val="auto"/>
          <w:highlight w:val="none"/>
        </w:rPr>
      </w:pPr>
      <w:r>
        <w:rPr>
          <w:rFonts w:hint="eastAsia" w:ascii="宋体" w:hAnsi="宋体" w:cs="宋体"/>
          <w:color w:val="auto"/>
          <w:kern w:val="0"/>
          <w:szCs w:val="24"/>
          <w:highlight w:val="none"/>
        </w:rPr>
        <w:t xml:space="preserve">    2.</w:t>
      </w:r>
      <w:r>
        <w:rPr>
          <w:rFonts w:hint="eastAsia" w:ascii="宋体" w:hAnsi="宋体" w:cs="宋体"/>
          <w:color w:val="auto"/>
          <w:highlight w:val="none"/>
        </w:rPr>
        <w:t>本项目履行合同的设备清单费用需包含在该报价中。</w:t>
      </w:r>
    </w:p>
    <w:p w14:paraId="095C108D">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响应单位：（单位盖章）</w:t>
      </w:r>
    </w:p>
    <w:p w14:paraId="4AF0DEA2">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法定代表人或委托代理人（签字或盖章）： </w:t>
      </w:r>
    </w:p>
    <w:p w14:paraId="3009ABB6">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响应日期：  年  月  日</w:t>
      </w:r>
    </w:p>
    <w:p w14:paraId="13F8F509">
      <w:pPr>
        <w:spacing w:after="200" w:line="200" w:lineRule="exact"/>
        <w:ind w:firstLine="480"/>
        <w:rPr>
          <w:rFonts w:ascii="Arial" w:hAnsi="Arial" w:eastAsia="Arial" w:cs="Times New Roman"/>
          <w:color w:val="auto"/>
          <w:szCs w:val="20"/>
          <w:highlight w:val="none"/>
        </w:rPr>
      </w:pPr>
    </w:p>
    <w:p w14:paraId="7D0E2967">
      <w:pPr>
        <w:widowControl/>
        <w:spacing w:after="0" w:line="240" w:lineRule="auto"/>
        <w:ind w:firstLine="0" w:firstLineChars="0"/>
        <w:jc w:val="left"/>
        <w:rPr>
          <w:rFonts w:hint="eastAsia" w:ascii="宋体" w:hAnsi="宋体" w:eastAsia="Arial" w:cs="Times New Roman"/>
          <w:b/>
          <w:color w:val="auto"/>
          <w:kern w:val="0"/>
          <w:sz w:val="30"/>
          <w:szCs w:val="30"/>
          <w:highlight w:val="none"/>
        </w:rPr>
      </w:pPr>
      <w:r>
        <w:rPr>
          <w:rFonts w:hint="eastAsia" w:ascii="宋体" w:hAnsi="宋体" w:eastAsia="Arial" w:cs="Times New Roman"/>
          <w:b/>
          <w:color w:val="auto"/>
          <w:kern w:val="0"/>
          <w:sz w:val="30"/>
          <w:szCs w:val="30"/>
          <w:highlight w:val="none"/>
        </w:rPr>
        <w:br w:type="page"/>
      </w:r>
    </w:p>
    <w:p w14:paraId="3A271761">
      <w:pPr>
        <w:widowControl/>
        <w:spacing w:after="200" w:line="276" w:lineRule="auto"/>
        <w:ind w:firstLine="1501" w:firstLineChars="500"/>
        <w:jc w:val="left"/>
        <w:rPr>
          <w:rFonts w:ascii="宋体" w:hAnsi="宋体" w:eastAsia="Arial" w:cs="Times New Roman"/>
          <w:b/>
          <w:color w:val="auto"/>
          <w:kern w:val="0"/>
          <w:sz w:val="22"/>
          <w:szCs w:val="24"/>
          <w:highlight w:val="none"/>
        </w:rPr>
      </w:pPr>
      <w:r>
        <w:rPr>
          <w:rFonts w:hint="eastAsia" w:ascii="宋体" w:hAnsi="宋体" w:eastAsia="Arial" w:cs="Times New Roman"/>
          <w:b/>
          <w:color w:val="auto"/>
          <w:kern w:val="0"/>
          <w:sz w:val="30"/>
          <w:szCs w:val="30"/>
          <w:highlight w:val="none"/>
        </w:rPr>
        <w:t>（二）响应报价合理性说明（如有）</w:t>
      </w:r>
    </w:p>
    <w:p w14:paraId="6355497D">
      <w:pPr>
        <w:spacing w:line="420" w:lineRule="exact"/>
        <w:ind w:firstLine="482"/>
        <w:rPr>
          <w:rFonts w:hint="eastAsia" w:ascii="宋体" w:hAnsi="宋体"/>
          <w:b/>
          <w:color w:val="auto"/>
          <w:szCs w:val="24"/>
          <w:highlight w:val="none"/>
        </w:rPr>
      </w:pPr>
      <w:r>
        <w:rPr>
          <w:rFonts w:hint="eastAsia" w:ascii="宋体" w:hAnsi="宋体"/>
          <w:b/>
          <w:color w:val="auto"/>
          <w:szCs w:val="24"/>
          <w:highlight w:val="none"/>
        </w:rPr>
        <w:t>注：异常低价响应审查的情形和具体要求如下：</w:t>
      </w:r>
      <w:r>
        <w:rPr>
          <w:rFonts w:hint="eastAsia" w:ascii="宋体" w:hAnsi="宋体"/>
          <w:b/>
          <w:color w:val="auto"/>
          <w:szCs w:val="24"/>
          <w:highlight w:val="none"/>
        </w:rPr>
        <w:br w:type="textWrapping"/>
      </w:r>
      <w:r>
        <w:rPr>
          <w:rFonts w:hint="eastAsia" w:ascii="宋体" w:hAnsi="宋体"/>
          <w:b/>
          <w:color w:val="auto"/>
          <w:szCs w:val="24"/>
          <w:highlight w:val="none"/>
        </w:rPr>
        <w:t xml:space="preserve"> 1.响应报价低于采购项目预算50%的，即响应报价&lt;采购项目预算×50%；</w:t>
      </w:r>
      <w:r>
        <w:rPr>
          <w:rFonts w:hint="eastAsia" w:ascii="宋体" w:hAnsi="宋体"/>
          <w:b/>
          <w:color w:val="auto"/>
          <w:szCs w:val="24"/>
          <w:highlight w:val="none"/>
        </w:rPr>
        <w:br w:type="textWrapping"/>
      </w:r>
      <w:r>
        <w:rPr>
          <w:rFonts w:hint="eastAsia" w:ascii="宋体" w:hAnsi="宋体"/>
          <w:b/>
          <w:color w:val="auto"/>
          <w:szCs w:val="24"/>
          <w:highlight w:val="none"/>
        </w:rPr>
        <w:t xml:space="preserve"> 2.响应报价低于采购项目最高限价45%的，即响应报价&lt;采购项目最高限价×45%；</w:t>
      </w:r>
      <w:r>
        <w:rPr>
          <w:rFonts w:hint="eastAsia" w:ascii="宋体" w:hAnsi="宋体"/>
          <w:b/>
          <w:color w:val="auto"/>
          <w:szCs w:val="24"/>
          <w:highlight w:val="none"/>
        </w:rPr>
        <w:br w:type="textWrapping"/>
      </w:r>
      <w:r>
        <w:rPr>
          <w:rFonts w:hint="eastAsia" w:ascii="宋体" w:hAnsi="宋体"/>
          <w:b/>
          <w:color w:val="auto"/>
          <w:szCs w:val="24"/>
          <w:highlight w:val="none"/>
        </w:rPr>
        <w:t xml:space="preserve"> 3.评审委员会认定的供应商报价过低、有可能影响产品质量或者不能诚信履约的其他情形。</w:t>
      </w:r>
      <w:r>
        <w:rPr>
          <w:rFonts w:hint="eastAsia" w:ascii="宋体" w:hAnsi="宋体"/>
          <w:b/>
          <w:color w:val="auto"/>
          <w:szCs w:val="24"/>
          <w:highlight w:val="none"/>
        </w:rPr>
        <w:br w:type="textWrapping"/>
      </w:r>
      <w:r>
        <w:rPr>
          <w:rFonts w:hint="eastAsia" w:ascii="宋体" w:hAnsi="宋体"/>
          <w:b/>
          <w:color w:val="auto"/>
          <w:szCs w:val="24"/>
          <w:highlight w:val="none"/>
        </w:rPr>
        <w:t xml:space="preserve"> </w:t>
      </w:r>
    </w:p>
    <w:p w14:paraId="01E85206">
      <w:pPr>
        <w:spacing w:line="420" w:lineRule="exact"/>
        <w:ind w:firstLine="482"/>
        <w:rPr>
          <w:rFonts w:hint="eastAsia" w:ascii="宋体" w:hAnsi="宋体"/>
          <w:b/>
          <w:color w:val="auto"/>
          <w:szCs w:val="24"/>
          <w:highlight w:val="none"/>
        </w:rPr>
      </w:pPr>
    </w:p>
    <w:p w14:paraId="60589CCE">
      <w:pPr>
        <w:spacing w:line="420" w:lineRule="exact"/>
        <w:ind w:firstLine="482"/>
        <w:rPr>
          <w:rFonts w:hint="eastAsia" w:ascii="宋体" w:hAnsi="宋体"/>
          <w:b/>
          <w:color w:val="auto"/>
          <w:szCs w:val="24"/>
          <w:highlight w:val="none"/>
        </w:rPr>
      </w:pPr>
      <w:r>
        <w:rPr>
          <w:rFonts w:hint="eastAsia" w:ascii="宋体" w:hAnsi="宋体"/>
          <w:b/>
          <w:color w:val="auto"/>
          <w:szCs w:val="24"/>
          <w:highlight w:val="none"/>
        </w:rPr>
        <w:t>响应单位应对照以上情形，在响应过程中对所投报价进行报价合理性说明（必要时附相关证明材料），合理性说明附响应报价明细表后，供评标委员会参考。</w:t>
      </w:r>
    </w:p>
    <w:p w14:paraId="0D997D86">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响应单位：（公章）</w:t>
      </w:r>
    </w:p>
    <w:p w14:paraId="3720E8D2">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 xml:space="preserve">法定代表人或委托代理人（签字或盖章）： </w:t>
      </w:r>
    </w:p>
    <w:p w14:paraId="65B939CE">
      <w:pPr>
        <w:widowControl/>
        <w:adjustRightInd w:val="0"/>
        <w:spacing w:after="200" w:line="500" w:lineRule="exact"/>
        <w:ind w:firstLine="480"/>
        <w:jc w:val="left"/>
        <w:textAlignment w:val="baseline"/>
        <w:rPr>
          <w:rFonts w:hint="eastAsia" w:ascii="宋体" w:hAnsi="宋体" w:cs="宋体"/>
          <w:color w:val="auto"/>
          <w:kern w:val="0"/>
          <w:szCs w:val="24"/>
          <w:highlight w:val="none"/>
        </w:rPr>
      </w:pPr>
      <w:r>
        <w:rPr>
          <w:rFonts w:hint="eastAsia" w:ascii="宋体" w:hAnsi="宋体" w:cs="宋体"/>
          <w:color w:val="auto"/>
          <w:kern w:val="0"/>
          <w:szCs w:val="24"/>
          <w:highlight w:val="none"/>
        </w:rPr>
        <w:t>响应日期：    年   月   日</w:t>
      </w:r>
    </w:p>
    <w:p w14:paraId="0A51C0DF">
      <w:pPr>
        <w:widowControl/>
        <w:adjustRightInd w:val="0"/>
        <w:spacing w:after="200" w:line="500" w:lineRule="exact"/>
        <w:ind w:firstLine="440"/>
        <w:jc w:val="left"/>
        <w:textAlignment w:val="baseline"/>
        <w:rPr>
          <w:rFonts w:ascii="宋体" w:hAnsi="宋体" w:eastAsia="Arial" w:cs="Times New Roman"/>
          <w:b/>
          <w:bCs/>
          <w:color w:val="auto"/>
          <w:kern w:val="0"/>
          <w:sz w:val="22"/>
          <w:szCs w:val="24"/>
          <w:highlight w:val="none"/>
        </w:rPr>
      </w:pPr>
      <w:r>
        <w:rPr>
          <w:rFonts w:hint="eastAsia" w:ascii="宋体" w:hAnsi="宋体" w:eastAsia="Arial" w:cs="Times New Roman"/>
          <w:color w:val="auto"/>
          <w:kern w:val="0"/>
          <w:sz w:val="22"/>
          <w:highlight w:val="none"/>
        </w:rPr>
        <w:br w:type="page"/>
      </w:r>
      <w:r>
        <w:rPr>
          <w:rFonts w:hint="eastAsia" w:ascii="宋体" w:hAnsi="宋体" w:eastAsia="Arial" w:cs="Times New Roman"/>
          <w:b/>
          <w:bCs/>
          <w:color w:val="auto"/>
          <w:kern w:val="0"/>
          <w:sz w:val="32"/>
          <w:szCs w:val="32"/>
          <w:highlight w:val="none"/>
        </w:rPr>
        <w:t>8、服务要求偏离表</w:t>
      </w:r>
    </w:p>
    <w:p w14:paraId="63B9A19D">
      <w:pPr>
        <w:widowControl/>
        <w:spacing w:after="200"/>
        <w:ind w:firstLine="602"/>
        <w:jc w:val="center"/>
        <w:rPr>
          <w:rFonts w:ascii="宋体" w:hAnsi="宋体" w:eastAsia="Arial" w:cs="Times New Roman"/>
          <w:color w:val="auto"/>
          <w:kern w:val="0"/>
          <w:sz w:val="22"/>
          <w:highlight w:val="none"/>
          <w:lang w:eastAsia="en-US"/>
        </w:rPr>
      </w:pPr>
      <w:r>
        <w:rPr>
          <w:rFonts w:hint="eastAsia" w:ascii="宋体" w:hAnsi="宋体" w:eastAsia="Arial" w:cs="宋体"/>
          <w:b/>
          <w:color w:val="auto"/>
          <w:kern w:val="0"/>
          <w:sz w:val="30"/>
          <w:szCs w:val="30"/>
          <w:highlight w:val="none"/>
          <w:lang w:eastAsia="en-US"/>
        </w:rPr>
        <w:t>服务要求偏离表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262D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58F112EB">
            <w:pPr>
              <w:widowControl/>
              <w:spacing w:after="200" w:line="42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序号</w:t>
            </w:r>
          </w:p>
        </w:tc>
        <w:tc>
          <w:tcPr>
            <w:tcW w:w="2010" w:type="dxa"/>
            <w:vAlign w:val="center"/>
          </w:tcPr>
          <w:p w14:paraId="0EB70DE2">
            <w:pPr>
              <w:widowControl/>
              <w:spacing w:after="200" w:line="42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内容</w:t>
            </w:r>
          </w:p>
        </w:tc>
        <w:tc>
          <w:tcPr>
            <w:tcW w:w="2526" w:type="dxa"/>
            <w:vAlign w:val="center"/>
          </w:tcPr>
          <w:p w14:paraId="1604B75B">
            <w:pPr>
              <w:widowControl/>
              <w:spacing w:after="200" w:line="42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采购文件</w:t>
            </w:r>
          </w:p>
          <w:p w14:paraId="318E0FBF">
            <w:pPr>
              <w:widowControl/>
              <w:spacing w:after="200" w:line="42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技术要求</w:t>
            </w:r>
          </w:p>
        </w:tc>
        <w:tc>
          <w:tcPr>
            <w:tcW w:w="1843" w:type="dxa"/>
            <w:vAlign w:val="center"/>
          </w:tcPr>
          <w:p w14:paraId="60940AF4">
            <w:pPr>
              <w:widowControl/>
              <w:spacing w:after="200" w:line="42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响应文件</w:t>
            </w:r>
          </w:p>
          <w:p w14:paraId="5203F984">
            <w:pPr>
              <w:widowControl/>
              <w:spacing w:after="200" w:line="42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响应要求</w:t>
            </w:r>
          </w:p>
        </w:tc>
        <w:tc>
          <w:tcPr>
            <w:tcW w:w="1559" w:type="dxa"/>
            <w:vAlign w:val="center"/>
          </w:tcPr>
          <w:p w14:paraId="767AE8F7">
            <w:pPr>
              <w:widowControl/>
              <w:spacing w:after="200" w:line="42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 xml:space="preserve"> 偏离情况</w:t>
            </w:r>
          </w:p>
        </w:tc>
      </w:tr>
      <w:tr w14:paraId="724CC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510EA70">
            <w:pPr>
              <w:widowControl/>
              <w:spacing w:after="200" w:line="40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1</w:t>
            </w:r>
          </w:p>
        </w:tc>
        <w:tc>
          <w:tcPr>
            <w:tcW w:w="2010" w:type="dxa"/>
            <w:vAlign w:val="center"/>
          </w:tcPr>
          <w:p w14:paraId="73208ED6">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2526" w:type="dxa"/>
            <w:vAlign w:val="center"/>
          </w:tcPr>
          <w:p w14:paraId="27E7E01C">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843" w:type="dxa"/>
            <w:vAlign w:val="center"/>
          </w:tcPr>
          <w:p w14:paraId="11033A71">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559" w:type="dxa"/>
            <w:vAlign w:val="center"/>
          </w:tcPr>
          <w:p w14:paraId="1D9DB3C8">
            <w:pPr>
              <w:widowControl/>
              <w:spacing w:after="200" w:line="400" w:lineRule="atLeast"/>
              <w:ind w:firstLine="440"/>
              <w:jc w:val="center"/>
              <w:rPr>
                <w:rFonts w:ascii="宋体" w:hAnsi="宋体" w:eastAsia="Arial" w:cs="Times New Roman"/>
                <w:color w:val="auto"/>
                <w:kern w:val="0"/>
                <w:sz w:val="22"/>
                <w:highlight w:val="none"/>
                <w:lang w:eastAsia="en-US"/>
              </w:rPr>
            </w:pPr>
          </w:p>
        </w:tc>
      </w:tr>
      <w:tr w14:paraId="18D8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3547172">
            <w:pPr>
              <w:widowControl/>
              <w:spacing w:after="200" w:line="40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2</w:t>
            </w:r>
          </w:p>
        </w:tc>
        <w:tc>
          <w:tcPr>
            <w:tcW w:w="2010" w:type="dxa"/>
            <w:vAlign w:val="center"/>
          </w:tcPr>
          <w:p w14:paraId="59B0A814">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2526" w:type="dxa"/>
            <w:vAlign w:val="center"/>
          </w:tcPr>
          <w:p w14:paraId="790ABF75">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843" w:type="dxa"/>
            <w:vAlign w:val="center"/>
          </w:tcPr>
          <w:p w14:paraId="561343D0">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559" w:type="dxa"/>
            <w:vAlign w:val="center"/>
          </w:tcPr>
          <w:p w14:paraId="48ECE32E">
            <w:pPr>
              <w:widowControl/>
              <w:spacing w:after="200" w:line="400" w:lineRule="atLeast"/>
              <w:ind w:firstLine="440"/>
              <w:jc w:val="center"/>
              <w:rPr>
                <w:rFonts w:ascii="宋体" w:hAnsi="宋体" w:eastAsia="Arial" w:cs="Times New Roman"/>
                <w:color w:val="auto"/>
                <w:kern w:val="0"/>
                <w:sz w:val="22"/>
                <w:highlight w:val="none"/>
                <w:lang w:eastAsia="en-US"/>
              </w:rPr>
            </w:pPr>
          </w:p>
        </w:tc>
      </w:tr>
      <w:tr w14:paraId="350A8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D581676">
            <w:pPr>
              <w:widowControl/>
              <w:spacing w:after="200" w:line="40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3</w:t>
            </w:r>
          </w:p>
        </w:tc>
        <w:tc>
          <w:tcPr>
            <w:tcW w:w="2010" w:type="dxa"/>
            <w:vAlign w:val="center"/>
          </w:tcPr>
          <w:p w14:paraId="2C7BFF76">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2526" w:type="dxa"/>
            <w:vAlign w:val="center"/>
          </w:tcPr>
          <w:p w14:paraId="399C1B80">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843" w:type="dxa"/>
            <w:vAlign w:val="center"/>
          </w:tcPr>
          <w:p w14:paraId="6439120A">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559" w:type="dxa"/>
            <w:vAlign w:val="center"/>
          </w:tcPr>
          <w:p w14:paraId="61FEA0C9">
            <w:pPr>
              <w:widowControl/>
              <w:spacing w:after="200" w:line="400" w:lineRule="atLeast"/>
              <w:ind w:firstLine="440"/>
              <w:jc w:val="center"/>
              <w:rPr>
                <w:rFonts w:ascii="宋体" w:hAnsi="宋体" w:eastAsia="Arial" w:cs="Times New Roman"/>
                <w:color w:val="auto"/>
                <w:kern w:val="0"/>
                <w:sz w:val="22"/>
                <w:highlight w:val="none"/>
                <w:lang w:eastAsia="en-US"/>
              </w:rPr>
            </w:pPr>
          </w:p>
        </w:tc>
      </w:tr>
      <w:tr w14:paraId="651C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0" w:hRule="atLeast"/>
        </w:trPr>
        <w:tc>
          <w:tcPr>
            <w:tcW w:w="959" w:type="dxa"/>
          </w:tcPr>
          <w:p w14:paraId="3FD81F0A">
            <w:pPr>
              <w:widowControl/>
              <w:spacing w:after="200" w:line="40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4</w:t>
            </w:r>
          </w:p>
        </w:tc>
        <w:tc>
          <w:tcPr>
            <w:tcW w:w="2010" w:type="dxa"/>
            <w:vAlign w:val="center"/>
          </w:tcPr>
          <w:p w14:paraId="484E180E">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2526" w:type="dxa"/>
            <w:vAlign w:val="center"/>
          </w:tcPr>
          <w:p w14:paraId="00452446">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843" w:type="dxa"/>
            <w:vAlign w:val="center"/>
          </w:tcPr>
          <w:p w14:paraId="0FA73497">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559" w:type="dxa"/>
            <w:vAlign w:val="center"/>
          </w:tcPr>
          <w:p w14:paraId="090D6BE4">
            <w:pPr>
              <w:widowControl/>
              <w:spacing w:after="200" w:line="400" w:lineRule="atLeast"/>
              <w:ind w:firstLine="440"/>
              <w:jc w:val="center"/>
              <w:rPr>
                <w:rFonts w:ascii="宋体" w:hAnsi="宋体" w:eastAsia="Arial" w:cs="Times New Roman"/>
                <w:color w:val="auto"/>
                <w:kern w:val="0"/>
                <w:sz w:val="22"/>
                <w:highlight w:val="none"/>
                <w:lang w:eastAsia="en-US"/>
              </w:rPr>
            </w:pPr>
          </w:p>
        </w:tc>
      </w:tr>
      <w:tr w14:paraId="05ED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D529219">
            <w:pPr>
              <w:widowControl/>
              <w:spacing w:after="200" w:line="40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5</w:t>
            </w:r>
          </w:p>
        </w:tc>
        <w:tc>
          <w:tcPr>
            <w:tcW w:w="2010" w:type="dxa"/>
            <w:vAlign w:val="center"/>
          </w:tcPr>
          <w:p w14:paraId="4E8CB4B5">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2526" w:type="dxa"/>
            <w:vAlign w:val="center"/>
          </w:tcPr>
          <w:p w14:paraId="7DD6171F">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843" w:type="dxa"/>
            <w:vAlign w:val="center"/>
          </w:tcPr>
          <w:p w14:paraId="1FE69C03">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559" w:type="dxa"/>
            <w:vAlign w:val="center"/>
          </w:tcPr>
          <w:p w14:paraId="39399D4A">
            <w:pPr>
              <w:widowControl/>
              <w:spacing w:after="200" w:line="400" w:lineRule="atLeast"/>
              <w:ind w:firstLine="440"/>
              <w:jc w:val="center"/>
              <w:rPr>
                <w:rFonts w:ascii="宋体" w:hAnsi="宋体" w:eastAsia="Arial" w:cs="Times New Roman"/>
                <w:color w:val="auto"/>
                <w:kern w:val="0"/>
                <w:sz w:val="22"/>
                <w:highlight w:val="none"/>
                <w:lang w:eastAsia="en-US"/>
              </w:rPr>
            </w:pPr>
          </w:p>
        </w:tc>
      </w:tr>
      <w:tr w14:paraId="1AD0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B87DF23">
            <w:pPr>
              <w:widowControl/>
              <w:spacing w:after="200" w:line="40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6</w:t>
            </w:r>
          </w:p>
        </w:tc>
        <w:tc>
          <w:tcPr>
            <w:tcW w:w="2010" w:type="dxa"/>
            <w:vAlign w:val="center"/>
          </w:tcPr>
          <w:p w14:paraId="49DA7A8F">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2526" w:type="dxa"/>
            <w:vAlign w:val="center"/>
          </w:tcPr>
          <w:p w14:paraId="294F16FF">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843" w:type="dxa"/>
            <w:vAlign w:val="center"/>
          </w:tcPr>
          <w:p w14:paraId="56B56061">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559" w:type="dxa"/>
            <w:vAlign w:val="center"/>
          </w:tcPr>
          <w:p w14:paraId="0FB7C87D">
            <w:pPr>
              <w:widowControl/>
              <w:spacing w:after="200" w:line="400" w:lineRule="atLeast"/>
              <w:ind w:firstLine="440"/>
              <w:jc w:val="center"/>
              <w:rPr>
                <w:rFonts w:ascii="宋体" w:hAnsi="宋体" w:eastAsia="Arial" w:cs="Times New Roman"/>
                <w:color w:val="auto"/>
                <w:kern w:val="0"/>
                <w:sz w:val="22"/>
                <w:highlight w:val="none"/>
                <w:lang w:eastAsia="en-US"/>
              </w:rPr>
            </w:pPr>
          </w:p>
        </w:tc>
      </w:tr>
      <w:tr w14:paraId="16ABA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0DEF3A2">
            <w:pPr>
              <w:widowControl/>
              <w:spacing w:after="200" w:line="40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7</w:t>
            </w:r>
          </w:p>
        </w:tc>
        <w:tc>
          <w:tcPr>
            <w:tcW w:w="2010" w:type="dxa"/>
            <w:vAlign w:val="center"/>
          </w:tcPr>
          <w:p w14:paraId="18C42140">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2526" w:type="dxa"/>
            <w:vAlign w:val="center"/>
          </w:tcPr>
          <w:p w14:paraId="74224138">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843" w:type="dxa"/>
            <w:vAlign w:val="center"/>
          </w:tcPr>
          <w:p w14:paraId="10579807">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559" w:type="dxa"/>
            <w:vAlign w:val="center"/>
          </w:tcPr>
          <w:p w14:paraId="5AA1A5B6">
            <w:pPr>
              <w:widowControl/>
              <w:spacing w:after="200" w:line="400" w:lineRule="atLeast"/>
              <w:ind w:firstLine="440"/>
              <w:jc w:val="center"/>
              <w:rPr>
                <w:rFonts w:ascii="宋体" w:hAnsi="宋体" w:eastAsia="Arial" w:cs="Times New Roman"/>
                <w:color w:val="auto"/>
                <w:kern w:val="0"/>
                <w:sz w:val="22"/>
                <w:highlight w:val="none"/>
                <w:lang w:eastAsia="en-US"/>
              </w:rPr>
            </w:pPr>
          </w:p>
        </w:tc>
      </w:tr>
      <w:tr w14:paraId="0DA1B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C5D2849">
            <w:pPr>
              <w:widowControl/>
              <w:spacing w:after="200" w:line="40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8</w:t>
            </w:r>
          </w:p>
        </w:tc>
        <w:tc>
          <w:tcPr>
            <w:tcW w:w="2010" w:type="dxa"/>
            <w:vAlign w:val="center"/>
          </w:tcPr>
          <w:p w14:paraId="7BFDDA6A">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2526" w:type="dxa"/>
            <w:vAlign w:val="center"/>
          </w:tcPr>
          <w:p w14:paraId="59CC0BDA">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843" w:type="dxa"/>
            <w:vAlign w:val="center"/>
          </w:tcPr>
          <w:p w14:paraId="66B91091">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559" w:type="dxa"/>
            <w:vAlign w:val="center"/>
          </w:tcPr>
          <w:p w14:paraId="0859FD03">
            <w:pPr>
              <w:widowControl/>
              <w:spacing w:after="200" w:line="400" w:lineRule="atLeast"/>
              <w:ind w:firstLine="440"/>
              <w:jc w:val="center"/>
              <w:rPr>
                <w:rFonts w:ascii="宋体" w:hAnsi="宋体" w:eastAsia="Arial" w:cs="Times New Roman"/>
                <w:color w:val="auto"/>
                <w:kern w:val="0"/>
                <w:sz w:val="22"/>
                <w:highlight w:val="none"/>
                <w:lang w:eastAsia="en-US"/>
              </w:rPr>
            </w:pPr>
          </w:p>
        </w:tc>
      </w:tr>
      <w:tr w14:paraId="63910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735AF40">
            <w:pPr>
              <w:widowControl/>
              <w:spacing w:after="200" w:line="400" w:lineRule="atLeast"/>
              <w:ind w:firstLine="440"/>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w:t>
            </w:r>
          </w:p>
        </w:tc>
        <w:tc>
          <w:tcPr>
            <w:tcW w:w="2010" w:type="dxa"/>
            <w:vAlign w:val="center"/>
          </w:tcPr>
          <w:p w14:paraId="1267788E">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2526" w:type="dxa"/>
            <w:vAlign w:val="center"/>
          </w:tcPr>
          <w:p w14:paraId="27FF3DD6">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843" w:type="dxa"/>
            <w:vAlign w:val="center"/>
          </w:tcPr>
          <w:p w14:paraId="11247CE1">
            <w:pPr>
              <w:widowControl/>
              <w:spacing w:after="200" w:line="400" w:lineRule="atLeast"/>
              <w:ind w:firstLine="440"/>
              <w:jc w:val="center"/>
              <w:rPr>
                <w:rFonts w:ascii="宋体" w:hAnsi="宋体" w:eastAsia="Arial" w:cs="Times New Roman"/>
                <w:color w:val="auto"/>
                <w:kern w:val="0"/>
                <w:sz w:val="22"/>
                <w:highlight w:val="none"/>
                <w:lang w:eastAsia="en-US"/>
              </w:rPr>
            </w:pPr>
          </w:p>
        </w:tc>
        <w:tc>
          <w:tcPr>
            <w:tcW w:w="1559" w:type="dxa"/>
            <w:vAlign w:val="center"/>
          </w:tcPr>
          <w:p w14:paraId="336601E5">
            <w:pPr>
              <w:widowControl/>
              <w:spacing w:after="200" w:line="400" w:lineRule="atLeast"/>
              <w:ind w:firstLine="440"/>
              <w:jc w:val="center"/>
              <w:rPr>
                <w:rFonts w:ascii="宋体" w:hAnsi="宋体" w:eastAsia="Arial" w:cs="Times New Roman"/>
                <w:color w:val="auto"/>
                <w:kern w:val="0"/>
                <w:sz w:val="22"/>
                <w:highlight w:val="none"/>
                <w:lang w:eastAsia="en-US"/>
              </w:rPr>
            </w:pPr>
          </w:p>
        </w:tc>
      </w:tr>
    </w:tbl>
    <w:p w14:paraId="28327D57">
      <w:pPr>
        <w:widowControl/>
        <w:autoSpaceDE w:val="0"/>
        <w:autoSpaceDN w:val="0"/>
        <w:adjustRightInd w:val="0"/>
        <w:snapToGrid w:val="0"/>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lang w:val="zh-CN"/>
        </w:rPr>
        <w:t>注：</w:t>
      </w:r>
      <w:r>
        <w:rPr>
          <w:rFonts w:hint="eastAsia" w:ascii="宋体" w:hAnsi="宋体" w:cs="宋体"/>
          <w:color w:val="auto"/>
          <w:kern w:val="0"/>
          <w:szCs w:val="24"/>
          <w:highlight w:val="none"/>
        </w:rPr>
        <w:t>1.响应人应在本表中对照采购文件服务要求与实际响应服务要求逐项对应列出，并在“偏离说明”项下填写以下内容：优于的，填写“正偏离”；符合的，填写“无偏离”；低于的，填写“负偏离”。</w:t>
      </w:r>
    </w:p>
    <w:p w14:paraId="34E686D5">
      <w:pPr>
        <w:widowControl/>
        <w:adjustRightInd w:val="0"/>
        <w:snapToGrid w:val="0"/>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2.若事项较多，响应人可根据响应内容的实际情况另纸说明。</w:t>
      </w:r>
    </w:p>
    <w:p w14:paraId="26D0262C">
      <w:pPr>
        <w:widowControl/>
        <w:adjustRightInd w:val="0"/>
        <w:snapToGrid w:val="0"/>
        <w:spacing w:after="200" w:line="460" w:lineRule="exact"/>
        <w:ind w:firstLine="480"/>
        <w:jc w:val="left"/>
        <w:rPr>
          <w:rFonts w:hint="eastAsia" w:ascii="宋体" w:hAnsi="宋体" w:cs="宋体"/>
          <w:color w:val="auto"/>
          <w:kern w:val="0"/>
          <w:szCs w:val="24"/>
          <w:highlight w:val="none"/>
        </w:rPr>
      </w:pPr>
    </w:p>
    <w:p w14:paraId="083A511E">
      <w:pPr>
        <w:widowControl/>
        <w:adjustRightInd w:val="0"/>
        <w:snapToGrid w:val="0"/>
        <w:spacing w:after="200" w:line="460" w:lineRule="exact"/>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响应单位：（单位公章）</w:t>
      </w:r>
    </w:p>
    <w:p w14:paraId="02ACBC87">
      <w:pPr>
        <w:widowControl/>
        <w:adjustRightInd w:val="0"/>
        <w:snapToGrid w:val="0"/>
        <w:spacing w:after="200" w:line="460" w:lineRule="exact"/>
        <w:ind w:firstLine="480"/>
        <w:jc w:val="left"/>
        <w:rPr>
          <w:rFonts w:hint="eastAsia" w:ascii="宋体" w:hAnsi="宋体" w:cs="宋体"/>
          <w:bCs/>
          <w:color w:val="auto"/>
          <w:kern w:val="0"/>
          <w:szCs w:val="24"/>
          <w:highlight w:val="none"/>
        </w:rPr>
      </w:pPr>
      <w:r>
        <w:rPr>
          <w:rFonts w:hint="eastAsia" w:ascii="宋体" w:hAnsi="宋体" w:cs="宋体"/>
          <w:color w:val="auto"/>
          <w:kern w:val="0"/>
          <w:szCs w:val="24"/>
          <w:highlight w:val="none"/>
        </w:rPr>
        <w:t>法定代表人或代理人（签字或盖章）</w:t>
      </w:r>
      <w:r>
        <w:rPr>
          <w:rFonts w:hint="eastAsia" w:ascii="宋体" w:hAnsi="宋体" w:cs="宋体"/>
          <w:bCs/>
          <w:color w:val="auto"/>
          <w:kern w:val="0"/>
          <w:szCs w:val="24"/>
          <w:highlight w:val="none"/>
        </w:rPr>
        <w:t>：</w:t>
      </w:r>
    </w:p>
    <w:p w14:paraId="0601B27C">
      <w:pPr>
        <w:widowControl/>
        <w:spacing w:after="200" w:line="460" w:lineRule="exact"/>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响应日期：   年   月   日</w:t>
      </w:r>
    </w:p>
    <w:p w14:paraId="230AD149">
      <w:pPr>
        <w:snapToGrid w:val="0"/>
        <w:spacing w:before="163" w:beforeLines="50" w:after="163" w:afterLines="50"/>
        <w:ind w:firstLine="643"/>
        <w:rPr>
          <w:rFonts w:ascii="宋体" w:hAnsi="宋体" w:eastAsia="Arial" w:cs="Times New Roman"/>
          <w:b/>
          <w:bCs/>
          <w:color w:val="auto"/>
          <w:sz w:val="32"/>
          <w:szCs w:val="32"/>
          <w:highlight w:val="none"/>
        </w:rPr>
      </w:pPr>
    </w:p>
    <w:p w14:paraId="68A2A84D">
      <w:pPr>
        <w:snapToGrid w:val="0"/>
        <w:spacing w:before="163" w:beforeLines="50" w:after="163" w:afterLines="50"/>
        <w:ind w:firstLine="643"/>
        <w:rPr>
          <w:rFonts w:ascii="宋体" w:hAnsi="宋体" w:eastAsia="Arial" w:cs="Times New Roman"/>
          <w:b/>
          <w:bCs/>
          <w:color w:val="auto"/>
          <w:sz w:val="32"/>
          <w:szCs w:val="32"/>
          <w:highlight w:val="none"/>
        </w:rPr>
      </w:pPr>
      <w:r>
        <w:rPr>
          <w:rFonts w:hint="eastAsia" w:ascii="宋体" w:hAnsi="宋体" w:eastAsia="Arial" w:cs="Times New Roman"/>
          <w:b/>
          <w:bCs/>
          <w:color w:val="auto"/>
          <w:sz w:val="32"/>
          <w:szCs w:val="32"/>
          <w:highlight w:val="none"/>
        </w:rPr>
        <w:t>9、商务偏离表</w:t>
      </w:r>
    </w:p>
    <w:p w14:paraId="4B7B5F4E">
      <w:pPr>
        <w:widowControl/>
        <w:snapToGrid w:val="0"/>
        <w:spacing w:after="200"/>
        <w:ind w:firstLine="723"/>
        <w:jc w:val="center"/>
        <w:rPr>
          <w:rFonts w:ascii="宋体" w:hAnsi="宋体" w:eastAsia="Arial" w:cs="Times New Roman"/>
          <w:b/>
          <w:color w:val="auto"/>
          <w:spacing w:val="20"/>
          <w:kern w:val="0"/>
          <w:sz w:val="32"/>
          <w:szCs w:val="32"/>
          <w:highlight w:val="none"/>
          <w:lang w:eastAsia="en-US"/>
        </w:rPr>
      </w:pPr>
      <w:r>
        <w:rPr>
          <w:rFonts w:hint="eastAsia" w:ascii="宋体" w:hAnsi="宋体" w:eastAsia="Arial" w:cs="Times New Roman"/>
          <w:b/>
          <w:color w:val="auto"/>
          <w:spacing w:val="20"/>
          <w:kern w:val="0"/>
          <w:sz w:val="32"/>
          <w:szCs w:val="32"/>
          <w:highlight w:val="none"/>
          <w:lang w:eastAsia="en-US"/>
        </w:rPr>
        <w:t>商务条款偏离表</w:t>
      </w:r>
    </w:p>
    <w:tbl>
      <w:tblPr>
        <w:tblStyle w:val="25"/>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09CC52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603D2732">
            <w:pPr>
              <w:widowControl/>
              <w:snapToGrid w:val="0"/>
              <w:spacing w:after="200"/>
              <w:ind w:firstLine="0" w:firstLineChars="0"/>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1A5F54FD">
            <w:pPr>
              <w:widowControl/>
              <w:snapToGrid w:val="0"/>
              <w:spacing w:after="200"/>
              <w:ind w:firstLine="440"/>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19F91375">
            <w:pPr>
              <w:widowControl/>
              <w:snapToGrid w:val="0"/>
              <w:spacing w:after="200"/>
              <w:ind w:firstLine="440"/>
              <w:jc w:val="center"/>
              <w:rPr>
                <w:rFonts w:ascii="宋体" w:hAnsi="宋体" w:eastAsia="Arial" w:cs="Times New Roman"/>
                <w:bCs/>
                <w:color w:val="auto"/>
                <w:kern w:val="0"/>
                <w:sz w:val="22"/>
                <w:szCs w:val="24"/>
                <w:highlight w:val="none"/>
                <w:lang w:eastAsia="en-US"/>
              </w:rPr>
            </w:pPr>
            <w:r>
              <w:rPr>
                <w:rFonts w:ascii="宋体" w:hAnsi="宋体" w:eastAsia="Arial" w:cs="宋体"/>
                <w:color w:val="auto"/>
                <w:kern w:val="1"/>
                <w:sz w:val="22"/>
                <w:szCs w:val="24"/>
                <w:highlight w:val="none"/>
                <w:lang w:eastAsia="en-US"/>
              </w:rPr>
              <w:t>采购文件的商务条款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0C5EE6AA">
            <w:pPr>
              <w:widowControl/>
              <w:snapToGrid w:val="0"/>
              <w:spacing w:after="200"/>
              <w:ind w:firstLine="440"/>
              <w:jc w:val="center"/>
              <w:rPr>
                <w:rFonts w:ascii="宋体" w:hAnsi="宋体" w:eastAsia="Arial" w:cs="Times New Roman"/>
                <w:bCs/>
                <w:color w:val="auto"/>
                <w:kern w:val="0"/>
                <w:sz w:val="22"/>
                <w:szCs w:val="24"/>
                <w:highlight w:val="none"/>
                <w:lang w:eastAsia="en-US"/>
              </w:rPr>
            </w:pPr>
            <w:r>
              <w:rPr>
                <w:rFonts w:hint="eastAsia" w:ascii="宋体" w:hAnsi="宋体" w:eastAsia="Arial" w:cs="宋体"/>
                <w:color w:val="auto"/>
                <w:kern w:val="1"/>
                <w:sz w:val="22"/>
                <w:szCs w:val="24"/>
                <w:highlight w:val="none"/>
                <w:lang w:eastAsia="en-US"/>
              </w:rPr>
              <w:t>响应</w:t>
            </w:r>
            <w:r>
              <w:rPr>
                <w:rFonts w:ascii="宋体" w:hAnsi="宋体" w:eastAsia="Arial" w:cs="宋体"/>
                <w:color w:val="auto"/>
                <w:kern w:val="1"/>
                <w:sz w:val="22"/>
                <w:szCs w:val="24"/>
                <w:highlight w:val="none"/>
                <w:lang w:eastAsia="en-US"/>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1016ACAA">
            <w:pPr>
              <w:widowControl/>
              <w:snapToGrid w:val="0"/>
              <w:spacing w:after="200"/>
              <w:ind w:firstLine="440"/>
              <w:jc w:val="center"/>
              <w:rPr>
                <w:rFonts w:ascii="宋体" w:hAnsi="宋体" w:eastAsia="Arial" w:cs="宋体"/>
                <w:color w:val="auto"/>
                <w:kern w:val="1"/>
                <w:sz w:val="22"/>
                <w:szCs w:val="24"/>
                <w:highlight w:val="none"/>
                <w:lang w:eastAsia="en-US"/>
              </w:rPr>
            </w:pPr>
            <w:r>
              <w:rPr>
                <w:rFonts w:hint="eastAsia" w:ascii="宋体" w:hAnsi="宋体" w:eastAsia="Arial" w:cs="宋体"/>
                <w:color w:val="auto"/>
                <w:kern w:val="1"/>
                <w:sz w:val="22"/>
                <w:szCs w:val="24"/>
                <w:highlight w:val="none"/>
                <w:lang w:eastAsia="en-US"/>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6216EAFE">
            <w:pPr>
              <w:widowControl/>
              <w:snapToGrid w:val="0"/>
              <w:spacing w:after="200"/>
              <w:ind w:firstLine="440"/>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备注</w:t>
            </w:r>
          </w:p>
        </w:tc>
      </w:tr>
      <w:tr w14:paraId="2954C6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51C576A">
            <w:pPr>
              <w:widowControl/>
              <w:snapToGrid w:val="0"/>
              <w:spacing w:after="200"/>
              <w:ind w:firstLine="0" w:firstLineChars="0"/>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1</w:t>
            </w:r>
          </w:p>
        </w:tc>
        <w:tc>
          <w:tcPr>
            <w:tcW w:w="2213" w:type="dxa"/>
            <w:tcBorders>
              <w:top w:val="single" w:color="auto" w:sz="8" w:space="0"/>
              <w:left w:val="single" w:color="auto" w:sz="8" w:space="0"/>
              <w:bottom w:val="single" w:color="auto" w:sz="8" w:space="0"/>
              <w:right w:val="single" w:color="auto" w:sz="8" w:space="0"/>
            </w:tcBorders>
          </w:tcPr>
          <w:p w14:paraId="089E248D">
            <w:pPr>
              <w:widowControl/>
              <w:snapToGrid w:val="0"/>
              <w:spacing w:after="200"/>
              <w:ind w:firstLine="440"/>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3EADCF60">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4B3DF070">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0989CAD1">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6C91F2A5">
            <w:pPr>
              <w:widowControl/>
              <w:snapToGrid w:val="0"/>
              <w:spacing w:after="200"/>
              <w:ind w:firstLine="440"/>
              <w:jc w:val="left"/>
              <w:rPr>
                <w:rFonts w:ascii="宋体" w:hAnsi="宋体" w:eastAsia="Arial" w:cs="Times New Roman"/>
                <w:color w:val="auto"/>
                <w:kern w:val="0"/>
                <w:sz w:val="22"/>
                <w:szCs w:val="24"/>
                <w:highlight w:val="none"/>
                <w:lang w:eastAsia="en-US"/>
              </w:rPr>
            </w:pPr>
          </w:p>
        </w:tc>
      </w:tr>
      <w:tr w14:paraId="4B71BD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465A975">
            <w:pPr>
              <w:widowControl/>
              <w:snapToGrid w:val="0"/>
              <w:spacing w:after="200"/>
              <w:ind w:firstLine="0" w:firstLineChars="0"/>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2</w:t>
            </w:r>
          </w:p>
        </w:tc>
        <w:tc>
          <w:tcPr>
            <w:tcW w:w="2213" w:type="dxa"/>
            <w:tcBorders>
              <w:top w:val="single" w:color="auto" w:sz="8" w:space="0"/>
              <w:left w:val="single" w:color="auto" w:sz="8" w:space="0"/>
              <w:bottom w:val="single" w:color="auto" w:sz="8" w:space="0"/>
              <w:right w:val="single" w:color="auto" w:sz="8" w:space="0"/>
            </w:tcBorders>
          </w:tcPr>
          <w:p w14:paraId="6DDC058D">
            <w:pPr>
              <w:widowControl/>
              <w:snapToGrid w:val="0"/>
              <w:spacing w:after="200"/>
              <w:ind w:firstLine="440"/>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74938A80">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49632916">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416A0EE1">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3CC2A2B1">
            <w:pPr>
              <w:widowControl/>
              <w:snapToGrid w:val="0"/>
              <w:spacing w:after="200"/>
              <w:ind w:firstLine="440"/>
              <w:jc w:val="left"/>
              <w:rPr>
                <w:rFonts w:ascii="宋体" w:hAnsi="宋体" w:eastAsia="Arial" w:cs="Times New Roman"/>
                <w:color w:val="auto"/>
                <w:kern w:val="0"/>
                <w:sz w:val="22"/>
                <w:szCs w:val="24"/>
                <w:highlight w:val="none"/>
                <w:lang w:eastAsia="en-US"/>
              </w:rPr>
            </w:pPr>
          </w:p>
        </w:tc>
      </w:tr>
      <w:tr w14:paraId="4E7F7B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45E51B5">
            <w:pPr>
              <w:widowControl/>
              <w:snapToGrid w:val="0"/>
              <w:spacing w:after="200"/>
              <w:ind w:firstLine="0" w:firstLineChars="0"/>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3</w:t>
            </w:r>
          </w:p>
        </w:tc>
        <w:tc>
          <w:tcPr>
            <w:tcW w:w="2213" w:type="dxa"/>
            <w:tcBorders>
              <w:top w:val="single" w:color="auto" w:sz="8" w:space="0"/>
              <w:left w:val="single" w:color="auto" w:sz="8" w:space="0"/>
              <w:bottom w:val="single" w:color="auto" w:sz="8" w:space="0"/>
              <w:right w:val="single" w:color="auto" w:sz="8" w:space="0"/>
            </w:tcBorders>
          </w:tcPr>
          <w:p w14:paraId="3250BD5F">
            <w:pPr>
              <w:widowControl/>
              <w:snapToGrid w:val="0"/>
              <w:spacing w:after="200"/>
              <w:ind w:firstLine="440"/>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4F77BC0">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30D66483">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40AF145F">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0C7DDCD2">
            <w:pPr>
              <w:widowControl/>
              <w:snapToGrid w:val="0"/>
              <w:spacing w:after="200"/>
              <w:ind w:firstLine="440"/>
              <w:jc w:val="left"/>
              <w:rPr>
                <w:rFonts w:ascii="宋体" w:hAnsi="宋体" w:eastAsia="Arial" w:cs="Times New Roman"/>
                <w:color w:val="auto"/>
                <w:kern w:val="0"/>
                <w:sz w:val="22"/>
                <w:szCs w:val="24"/>
                <w:highlight w:val="none"/>
                <w:lang w:eastAsia="en-US"/>
              </w:rPr>
            </w:pPr>
          </w:p>
        </w:tc>
      </w:tr>
      <w:tr w14:paraId="7120B1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5C603F4">
            <w:pPr>
              <w:widowControl/>
              <w:snapToGrid w:val="0"/>
              <w:spacing w:after="200"/>
              <w:ind w:firstLine="0" w:firstLineChars="0"/>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4</w:t>
            </w:r>
          </w:p>
        </w:tc>
        <w:tc>
          <w:tcPr>
            <w:tcW w:w="2213" w:type="dxa"/>
            <w:tcBorders>
              <w:top w:val="single" w:color="auto" w:sz="8" w:space="0"/>
              <w:left w:val="single" w:color="auto" w:sz="8" w:space="0"/>
              <w:bottom w:val="single" w:color="auto" w:sz="8" w:space="0"/>
              <w:right w:val="single" w:color="auto" w:sz="8" w:space="0"/>
            </w:tcBorders>
          </w:tcPr>
          <w:p w14:paraId="2D957F1D">
            <w:pPr>
              <w:widowControl/>
              <w:snapToGrid w:val="0"/>
              <w:spacing w:after="200"/>
              <w:ind w:firstLine="440"/>
              <w:jc w:val="left"/>
              <w:rPr>
                <w:rFonts w:ascii="宋体" w:hAnsi="宋体" w:eastAsia="Arial" w:cs="Times New Roman"/>
                <w:bCs/>
                <w:color w:val="auto"/>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510B579E">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1C3853D0">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2AB34210">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2758E751">
            <w:pPr>
              <w:widowControl/>
              <w:snapToGrid w:val="0"/>
              <w:spacing w:after="200"/>
              <w:ind w:firstLine="440"/>
              <w:jc w:val="left"/>
              <w:rPr>
                <w:rFonts w:ascii="宋体" w:hAnsi="宋体" w:eastAsia="Arial" w:cs="Times New Roman"/>
                <w:color w:val="auto"/>
                <w:kern w:val="0"/>
                <w:sz w:val="22"/>
                <w:szCs w:val="24"/>
                <w:highlight w:val="none"/>
                <w:lang w:eastAsia="en-US"/>
              </w:rPr>
            </w:pPr>
          </w:p>
        </w:tc>
      </w:tr>
      <w:tr w14:paraId="73F65E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C0B953F">
            <w:pPr>
              <w:widowControl/>
              <w:snapToGrid w:val="0"/>
              <w:spacing w:after="200"/>
              <w:ind w:firstLine="0" w:firstLineChars="0"/>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5</w:t>
            </w:r>
          </w:p>
        </w:tc>
        <w:tc>
          <w:tcPr>
            <w:tcW w:w="2213" w:type="dxa"/>
            <w:tcBorders>
              <w:top w:val="single" w:color="auto" w:sz="8" w:space="0"/>
              <w:left w:val="single" w:color="auto" w:sz="8" w:space="0"/>
              <w:bottom w:val="single" w:color="auto" w:sz="8" w:space="0"/>
              <w:right w:val="single" w:color="auto" w:sz="8" w:space="0"/>
            </w:tcBorders>
          </w:tcPr>
          <w:p w14:paraId="0517140C">
            <w:pPr>
              <w:widowControl/>
              <w:snapToGrid w:val="0"/>
              <w:spacing w:after="200"/>
              <w:ind w:firstLine="440"/>
              <w:jc w:val="left"/>
              <w:rPr>
                <w:rFonts w:ascii="宋体" w:hAnsi="宋体" w:eastAsia="Arial" w:cs="Times New Roman"/>
                <w:bCs/>
                <w:color w:val="auto"/>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1C22815F">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25525879">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6EC7EB07">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61FA5A83">
            <w:pPr>
              <w:widowControl/>
              <w:snapToGrid w:val="0"/>
              <w:spacing w:after="200"/>
              <w:ind w:firstLine="440"/>
              <w:jc w:val="left"/>
              <w:rPr>
                <w:rFonts w:ascii="宋体" w:hAnsi="宋体" w:eastAsia="Arial" w:cs="Times New Roman"/>
                <w:color w:val="auto"/>
                <w:kern w:val="0"/>
                <w:sz w:val="22"/>
                <w:szCs w:val="24"/>
                <w:highlight w:val="none"/>
                <w:lang w:eastAsia="en-US"/>
              </w:rPr>
            </w:pPr>
          </w:p>
        </w:tc>
      </w:tr>
      <w:tr w14:paraId="035414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095D85A">
            <w:pPr>
              <w:widowControl/>
              <w:snapToGrid w:val="0"/>
              <w:spacing w:after="200"/>
              <w:ind w:firstLine="0" w:firstLineChars="0"/>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6</w:t>
            </w:r>
          </w:p>
        </w:tc>
        <w:tc>
          <w:tcPr>
            <w:tcW w:w="2213" w:type="dxa"/>
            <w:tcBorders>
              <w:top w:val="single" w:color="auto" w:sz="8" w:space="0"/>
              <w:left w:val="single" w:color="auto" w:sz="8" w:space="0"/>
              <w:bottom w:val="single" w:color="auto" w:sz="8" w:space="0"/>
              <w:right w:val="single" w:color="auto" w:sz="8" w:space="0"/>
            </w:tcBorders>
          </w:tcPr>
          <w:p w14:paraId="3CB46616">
            <w:pPr>
              <w:widowControl/>
              <w:snapToGrid w:val="0"/>
              <w:spacing w:after="200"/>
              <w:ind w:firstLine="440"/>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0F6A4AD">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497BE189">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30C6B157">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155BAAD2">
            <w:pPr>
              <w:widowControl/>
              <w:snapToGrid w:val="0"/>
              <w:spacing w:after="200"/>
              <w:ind w:firstLine="440"/>
              <w:jc w:val="left"/>
              <w:rPr>
                <w:rFonts w:ascii="宋体" w:hAnsi="宋体" w:eastAsia="Arial" w:cs="Times New Roman"/>
                <w:color w:val="auto"/>
                <w:kern w:val="0"/>
                <w:sz w:val="22"/>
                <w:szCs w:val="24"/>
                <w:highlight w:val="none"/>
                <w:lang w:eastAsia="en-US"/>
              </w:rPr>
            </w:pPr>
          </w:p>
        </w:tc>
      </w:tr>
      <w:tr w14:paraId="45190D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728D5A1">
            <w:pPr>
              <w:widowControl/>
              <w:snapToGrid w:val="0"/>
              <w:spacing w:after="200"/>
              <w:ind w:firstLine="0" w:firstLineChars="0"/>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7</w:t>
            </w:r>
          </w:p>
        </w:tc>
        <w:tc>
          <w:tcPr>
            <w:tcW w:w="2213" w:type="dxa"/>
            <w:tcBorders>
              <w:top w:val="single" w:color="auto" w:sz="8" w:space="0"/>
              <w:left w:val="single" w:color="auto" w:sz="8" w:space="0"/>
              <w:bottom w:val="single" w:color="auto" w:sz="8" w:space="0"/>
              <w:right w:val="single" w:color="auto" w:sz="8" w:space="0"/>
            </w:tcBorders>
          </w:tcPr>
          <w:p w14:paraId="59FE6AE1">
            <w:pPr>
              <w:widowControl/>
              <w:snapToGrid w:val="0"/>
              <w:spacing w:after="200"/>
              <w:ind w:firstLine="440"/>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DB18425">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07C9E41C">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064D98CD">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01847CE2">
            <w:pPr>
              <w:widowControl/>
              <w:snapToGrid w:val="0"/>
              <w:spacing w:after="200"/>
              <w:ind w:firstLine="440"/>
              <w:jc w:val="left"/>
              <w:rPr>
                <w:rFonts w:ascii="宋体" w:hAnsi="宋体" w:eastAsia="Arial" w:cs="Times New Roman"/>
                <w:color w:val="auto"/>
                <w:kern w:val="0"/>
                <w:sz w:val="22"/>
                <w:szCs w:val="24"/>
                <w:highlight w:val="none"/>
                <w:lang w:eastAsia="en-US"/>
              </w:rPr>
            </w:pPr>
          </w:p>
        </w:tc>
      </w:tr>
      <w:tr w14:paraId="6581D6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29A54F4">
            <w:pPr>
              <w:widowControl/>
              <w:snapToGrid w:val="0"/>
              <w:spacing w:after="200"/>
              <w:ind w:firstLine="0" w:firstLineChars="0"/>
              <w:rPr>
                <w:rFonts w:ascii="宋体" w:hAnsi="宋体" w:eastAsia="Arial" w:cs="Times New Roman"/>
                <w:bCs/>
                <w:color w:val="auto"/>
                <w:kern w:val="0"/>
                <w:sz w:val="22"/>
                <w:szCs w:val="24"/>
                <w:highlight w:val="none"/>
                <w:lang w:eastAsia="en-US"/>
              </w:rPr>
            </w:pPr>
            <w:r>
              <w:rPr>
                <w:rFonts w:ascii="宋体" w:hAnsi="宋体" w:eastAsia="Arial" w:cs="Times New Roman"/>
                <w:bCs/>
                <w:color w:val="auto"/>
                <w:kern w:val="0"/>
                <w:sz w:val="22"/>
                <w:szCs w:val="24"/>
                <w:highlight w:val="none"/>
                <w:lang w:eastAsia="en-US"/>
              </w:rPr>
              <w:t>…</w:t>
            </w:r>
          </w:p>
        </w:tc>
        <w:tc>
          <w:tcPr>
            <w:tcW w:w="2213" w:type="dxa"/>
            <w:tcBorders>
              <w:top w:val="single" w:color="auto" w:sz="8" w:space="0"/>
              <w:left w:val="single" w:color="auto" w:sz="8" w:space="0"/>
              <w:bottom w:val="single" w:color="auto" w:sz="8" w:space="0"/>
              <w:right w:val="single" w:color="auto" w:sz="8" w:space="0"/>
            </w:tcBorders>
          </w:tcPr>
          <w:p w14:paraId="2A35D613">
            <w:pPr>
              <w:widowControl/>
              <w:snapToGrid w:val="0"/>
              <w:spacing w:after="200"/>
              <w:ind w:firstLine="440"/>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31058911">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5EBFC00D">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73023EA0">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4CBC3A09">
            <w:pPr>
              <w:widowControl/>
              <w:snapToGrid w:val="0"/>
              <w:spacing w:after="200"/>
              <w:ind w:firstLine="440"/>
              <w:jc w:val="left"/>
              <w:rPr>
                <w:rFonts w:ascii="宋体" w:hAnsi="宋体" w:eastAsia="Arial" w:cs="Times New Roman"/>
                <w:color w:val="auto"/>
                <w:kern w:val="0"/>
                <w:sz w:val="22"/>
                <w:szCs w:val="24"/>
                <w:highlight w:val="none"/>
                <w:lang w:eastAsia="en-US"/>
              </w:rPr>
            </w:pPr>
          </w:p>
        </w:tc>
      </w:tr>
      <w:tr w14:paraId="5975E1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93C0809">
            <w:pPr>
              <w:widowControl/>
              <w:snapToGrid w:val="0"/>
              <w:spacing w:after="200"/>
              <w:ind w:firstLine="440"/>
              <w:jc w:val="center"/>
              <w:rPr>
                <w:rFonts w:ascii="宋体" w:hAnsi="宋体" w:eastAsia="Arial" w:cs="Times New Roman"/>
                <w:bCs/>
                <w:color w:val="auto"/>
                <w:kern w:val="0"/>
                <w:sz w:val="22"/>
                <w:szCs w:val="24"/>
                <w:highlight w:val="none"/>
                <w:lang w:eastAsia="en-US"/>
              </w:rPr>
            </w:pPr>
          </w:p>
        </w:tc>
        <w:tc>
          <w:tcPr>
            <w:tcW w:w="2213" w:type="dxa"/>
            <w:tcBorders>
              <w:top w:val="single" w:color="auto" w:sz="8" w:space="0"/>
              <w:left w:val="single" w:color="auto" w:sz="8" w:space="0"/>
              <w:bottom w:val="single" w:color="auto" w:sz="8" w:space="0"/>
              <w:right w:val="single" w:color="auto" w:sz="8" w:space="0"/>
            </w:tcBorders>
          </w:tcPr>
          <w:p w14:paraId="598350F9">
            <w:pPr>
              <w:widowControl/>
              <w:snapToGrid w:val="0"/>
              <w:spacing w:after="200"/>
              <w:ind w:firstLine="440"/>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433446CA">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7D58DBC7">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77D989E8">
            <w:pPr>
              <w:widowControl/>
              <w:snapToGrid w:val="0"/>
              <w:spacing w:after="200"/>
              <w:ind w:firstLine="440"/>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12CD34F5">
            <w:pPr>
              <w:widowControl/>
              <w:snapToGrid w:val="0"/>
              <w:spacing w:after="200"/>
              <w:ind w:firstLine="440"/>
              <w:jc w:val="left"/>
              <w:rPr>
                <w:rFonts w:ascii="宋体" w:hAnsi="宋体" w:eastAsia="Arial" w:cs="Times New Roman"/>
                <w:color w:val="auto"/>
                <w:kern w:val="0"/>
                <w:sz w:val="22"/>
                <w:szCs w:val="24"/>
                <w:highlight w:val="none"/>
                <w:lang w:eastAsia="en-US"/>
              </w:rPr>
            </w:pPr>
          </w:p>
        </w:tc>
      </w:tr>
    </w:tbl>
    <w:p w14:paraId="439CBBE2">
      <w:pPr>
        <w:widowControl/>
        <w:snapToGrid w:val="0"/>
        <w:spacing w:after="200"/>
        <w:ind w:firstLine="442"/>
        <w:jc w:val="left"/>
        <w:rPr>
          <w:rFonts w:ascii="宋体" w:hAnsi="宋体" w:eastAsia="Arial" w:cs="Times New Roman"/>
          <w:b/>
          <w:color w:val="auto"/>
          <w:kern w:val="0"/>
          <w:sz w:val="22"/>
          <w:szCs w:val="24"/>
          <w:highlight w:val="none"/>
          <w:lang w:eastAsia="en-US"/>
        </w:rPr>
      </w:pPr>
    </w:p>
    <w:p w14:paraId="76D33ED9">
      <w:pPr>
        <w:widowControl/>
        <w:autoSpaceDE w:val="0"/>
        <w:autoSpaceDN w:val="0"/>
        <w:adjustRightInd w:val="0"/>
        <w:snapToGrid w:val="0"/>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lang w:val="zh-CN"/>
        </w:rPr>
        <w:t>注：</w:t>
      </w:r>
      <w:r>
        <w:rPr>
          <w:rFonts w:hint="eastAsia" w:ascii="宋体" w:hAnsi="宋体" w:cs="宋体"/>
          <w:color w:val="auto"/>
          <w:kern w:val="0"/>
          <w:szCs w:val="24"/>
          <w:highlight w:val="none"/>
        </w:rPr>
        <w:t>1.供应商应在本表中把采购文件商务要求与实际响应商务要求逐项对应列出，并在“偏离说明”项下填写以下内容：优于的，填写“正偏离”；符合的，填写“无偏离”；低于的，填写“负偏离”。</w:t>
      </w:r>
    </w:p>
    <w:p w14:paraId="09DCFE62">
      <w:pPr>
        <w:overflowPunct w:val="0"/>
        <w:spacing w:after="200"/>
        <w:ind w:firstLine="480"/>
        <w:rPr>
          <w:rFonts w:hint="eastAsia" w:ascii="宋体" w:hAnsi="宋体" w:cs="宋体"/>
          <w:color w:val="auto"/>
          <w:szCs w:val="24"/>
          <w:highlight w:val="none"/>
        </w:rPr>
      </w:pPr>
      <w:r>
        <w:rPr>
          <w:rFonts w:hint="eastAsia" w:ascii="宋体" w:hAnsi="宋体" w:cs="宋体"/>
          <w:color w:val="auto"/>
          <w:szCs w:val="24"/>
          <w:highlight w:val="none"/>
        </w:rPr>
        <w:t>2.若事项较多，响应人可根据响应内容的实际情况另纸说明。</w:t>
      </w:r>
    </w:p>
    <w:p w14:paraId="5BC3DF6D">
      <w:pPr>
        <w:widowControl/>
        <w:adjustRightInd w:val="0"/>
        <w:snapToGrid w:val="0"/>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响应单位：（单位公章）</w:t>
      </w:r>
    </w:p>
    <w:p w14:paraId="13704234">
      <w:pPr>
        <w:widowControl/>
        <w:adjustRightInd w:val="0"/>
        <w:snapToGrid w:val="0"/>
        <w:spacing w:after="200"/>
        <w:ind w:firstLine="480"/>
        <w:jc w:val="left"/>
        <w:rPr>
          <w:rFonts w:hint="eastAsia" w:ascii="宋体" w:hAnsi="宋体" w:cs="宋体"/>
          <w:color w:val="auto"/>
          <w:kern w:val="0"/>
          <w:szCs w:val="24"/>
          <w:highlight w:val="none"/>
        </w:rPr>
      </w:pPr>
      <w:r>
        <w:rPr>
          <w:rFonts w:hint="eastAsia" w:ascii="宋体" w:hAnsi="宋体" w:cs="宋体"/>
          <w:color w:val="auto"/>
          <w:kern w:val="0"/>
          <w:szCs w:val="24"/>
          <w:highlight w:val="none"/>
        </w:rPr>
        <w:t>法定代表人或代理人（签字或盖章）</w:t>
      </w:r>
      <w:r>
        <w:rPr>
          <w:rFonts w:hint="eastAsia" w:ascii="宋体" w:hAnsi="宋体" w:cs="宋体"/>
          <w:bCs/>
          <w:color w:val="auto"/>
          <w:kern w:val="0"/>
          <w:szCs w:val="24"/>
          <w:highlight w:val="none"/>
        </w:rPr>
        <w:t>：</w:t>
      </w:r>
    </w:p>
    <w:p w14:paraId="3A1EDE51">
      <w:pPr>
        <w:widowControl/>
        <w:adjustRightInd w:val="0"/>
        <w:snapToGrid w:val="0"/>
        <w:spacing w:after="200"/>
        <w:ind w:firstLine="480"/>
        <w:jc w:val="left"/>
        <w:rPr>
          <w:rFonts w:hint="eastAsia" w:ascii="宋体" w:hAnsi="宋体" w:cs="宋体"/>
          <w:color w:val="auto"/>
          <w:kern w:val="0"/>
          <w:szCs w:val="24"/>
          <w:highlight w:val="none"/>
        </w:rPr>
      </w:pPr>
      <w:r>
        <w:rPr>
          <w:rFonts w:hint="eastAsia" w:ascii="宋体" w:hAnsi="宋体" w:cs="宋体"/>
          <w:bCs/>
          <w:color w:val="auto"/>
          <w:kern w:val="0"/>
          <w:szCs w:val="24"/>
          <w:highlight w:val="none"/>
        </w:rPr>
        <w:t>响应日期:   年  月   日</w:t>
      </w:r>
    </w:p>
    <w:p w14:paraId="6F2F73E9">
      <w:pPr>
        <w:widowControl/>
        <w:pBdr>
          <w:top w:val="none" w:color="000000" w:sz="0" w:space="0"/>
          <w:left w:val="none" w:color="000000" w:sz="0" w:space="0"/>
          <w:bottom w:val="none" w:color="000000" w:sz="0" w:space="0"/>
          <w:right w:val="none" w:color="000000" w:sz="0" w:space="0"/>
        </w:pBdr>
        <w:spacing w:line="276" w:lineRule="auto"/>
        <w:ind w:firstLine="643"/>
        <w:rPr>
          <w:rFonts w:ascii="Arial" w:hAnsi="Arial" w:eastAsia="Arial" w:cs="Times New Roman"/>
          <w:color w:val="auto"/>
          <w:kern w:val="0"/>
          <w:sz w:val="22"/>
          <w:highlight w:val="none"/>
        </w:rPr>
      </w:pPr>
      <w:r>
        <w:rPr>
          <w:rFonts w:ascii="宋体" w:hAnsi="宋体" w:cs="宋体"/>
          <w:b/>
          <w:color w:val="auto"/>
          <w:kern w:val="0"/>
          <w:sz w:val="32"/>
          <w:highlight w:val="none"/>
        </w:rPr>
        <w:t>1</w:t>
      </w:r>
      <w:r>
        <w:rPr>
          <w:rFonts w:hint="eastAsia" w:ascii="宋体" w:hAnsi="宋体" w:cs="宋体"/>
          <w:b/>
          <w:color w:val="auto"/>
          <w:kern w:val="0"/>
          <w:sz w:val="32"/>
          <w:highlight w:val="none"/>
          <w:lang w:val="en-US" w:eastAsia="zh-CN"/>
        </w:rPr>
        <w:t>0</w:t>
      </w:r>
      <w:r>
        <w:rPr>
          <w:rFonts w:ascii="宋体" w:hAnsi="宋体" w:cs="宋体"/>
          <w:b/>
          <w:color w:val="auto"/>
          <w:kern w:val="0"/>
          <w:sz w:val="32"/>
          <w:highlight w:val="none"/>
        </w:rPr>
        <w:t>、企业类似业绩一览表</w:t>
      </w:r>
      <w:r>
        <w:rPr>
          <w:rFonts w:hint="eastAsia" w:ascii="宋体" w:hAnsi="宋体" w:cs="宋体"/>
          <w:b/>
          <w:color w:val="auto"/>
          <w:kern w:val="0"/>
          <w:sz w:val="32"/>
          <w:highlight w:val="none"/>
        </w:rPr>
        <w:t>（如有）</w:t>
      </w:r>
    </w:p>
    <w:p w14:paraId="340F3666">
      <w:pPr>
        <w:widowControl/>
        <w:pBdr>
          <w:top w:val="none" w:color="000000" w:sz="0" w:space="0"/>
          <w:left w:val="none" w:color="000000" w:sz="0" w:space="0"/>
          <w:bottom w:val="none" w:color="000000" w:sz="0" w:space="0"/>
          <w:right w:val="none" w:color="000000" w:sz="0" w:space="0"/>
        </w:pBdr>
        <w:spacing w:line="85" w:lineRule="atLeast"/>
        <w:ind w:firstLine="562"/>
        <w:jc w:val="center"/>
        <w:rPr>
          <w:rFonts w:ascii="Arial" w:hAnsi="Arial" w:eastAsia="Arial" w:cs="Times New Roman"/>
          <w:color w:val="auto"/>
          <w:kern w:val="0"/>
          <w:sz w:val="22"/>
          <w:highlight w:val="none"/>
        </w:rPr>
      </w:pPr>
      <w:r>
        <w:rPr>
          <w:rFonts w:ascii="宋体" w:hAnsi="宋体" w:cs="宋体"/>
          <w:b/>
          <w:color w:val="auto"/>
          <w:kern w:val="0"/>
          <w:sz w:val="28"/>
          <w:highlight w:val="none"/>
        </w:rPr>
        <w:t> </w:t>
      </w:r>
    </w:p>
    <w:p w14:paraId="20C133D1">
      <w:pPr>
        <w:widowControl/>
        <w:pBdr>
          <w:top w:val="none" w:color="000000" w:sz="0" w:space="0"/>
          <w:left w:val="none" w:color="000000" w:sz="0" w:space="0"/>
          <w:bottom w:val="none" w:color="000000" w:sz="0" w:space="0"/>
          <w:right w:val="none" w:color="000000" w:sz="0" w:space="0"/>
        </w:pBdr>
        <w:spacing w:line="85" w:lineRule="atLeast"/>
        <w:ind w:firstLine="562"/>
        <w:jc w:val="center"/>
        <w:rPr>
          <w:rFonts w:ascii="Arial" w:hAnsi="Arial" w:eastAsia="Arial" w:cs="Times New Roman"/>
          <w:color w:val="auto"/>
          <w:kern w:val="0"/>
          <w:sz w:val="22"/>
          <w:highlight w:val="none"/>
        </w:rPr>
      </w:pPr>
      <w:r>
        <w:rPr>
          <w:rFonts w:ascii="宋体" w:hAnsi="宋体" w:cs="宋体"/>
          <w:b/>
          <w:color w:val="auto"/>
          <w:kern w:val="0"/>
          <w:sz w:val="28"/>
          <w:highlight w:val="none"/>
        </w:rPr>
        <w:t>企业类似业绩一览表</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12"/>
        <w:gridCol w:w="1478"/>
        <w:gridCol w:w="1258"/>
        <w:gridCol w:w="1752"/>
        <w:gridCol w:w="1728"/>
        <w:gridCol w:w="1632"/>
      </w:tblGrid>
      <w:tr w14:paraId="55C07E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A89552B">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序号</w:t>
            </w:r>
          </w:p>
        </w:tc>
        <w:tc>
          <w:tcPr>
            <w:tcW w:w="147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76E39C0">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项目名称</w:t>
            </w:r>
          </w:p>
        </w:tc>
        <w:tc>
          <w:tcPr>
            <w:tcW w:w="125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DBB72A">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项目时间</w:t>
            </w:r>
          </w:p>
        </w:tc>
        <w:tc>
          <w:tcPr>
            <w:tcW w:w="175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6813415">
            <w:pPr>
              <w:widowControl/>
              <w:pBdr>
                <w:top w:val="none" w:color="000000" w:sz="0" w:space="0"/>
                <w:left w:val="none" w:color="000000" w:sz="0" w:space="0"/>
                <w:bottom w:val="none" w:color="000000" w:sz="0" w:space="0"/>
                <w:right w:val="none" w:color="000000" w:sz="0" w:space="0"/>
              </w:pBdr>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合同金额</w:t>
            </w:r>
          </w:p>
          <w:p w14:paraId="42E92D57">
            <w:pPr>
              <w:widowControl/>
              <w:pBdr>
                <w:top w:val="none" w:color="000000" w:sz="0" w:space="0"/>
                <w:left w:val="none" w:color="000000" w:sz="0" w:space="0"/>
                <w:bottom w:val="none" w:color="000000" w:sz="0" w:space="0"/>
                <w:right w:val="none" w:color="000000" w:sz="0" w:space="0"/>
              </w:pBdr>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（人民币）</w:t>
            </w:r>
          </w:p>
        </w:tc>
        <w:tc>
          <w:tcPr>
            <w:tcW w:w="17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42E4A5C">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业主单位</w:t>
            </w:r>
          </w:p>
        </w:tc>
        <w:tc>
          <w:tcPr>
            <w:tcW w:w="163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80F2612">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备注</w:t>
            </w:r>
          </w:p>
        </w:tc>
      </w:tr>
      <w:tr w14:paraId="5C4893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2A526F">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1</w:t>
            </w:r>
          </w:p>
        </w:tc>
        <w:tc>
          <w:tcPr>
            <w:tcW w:w="147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144A612">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25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1CC5E80">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5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643865">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2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37EA221">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6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BC88C16">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r>
      <w:tr w14:paraId="1837F7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B1B590">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2</w:t>
            </w:r>
          </w:p>
        </w:tc>
        <w:tc>
          <w:tcPr>
            <w:tcW w:w="147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D9B717">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25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A18DB0">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5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CA82902">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2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8F9EDF">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6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819A1A">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r>
      <w:tr w14:paraId="640973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0672A7">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3</w:t>
            </w:r>
          </w:p>
        </w:tc>
        <w:tc>
          <w:tcPr>
            <w:tcW w:w="147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FCDCDC">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25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014125">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5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621A8E">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2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78B3D2">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6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26F2EF">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r>
      <w:tr w14:paraId="74A137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2642CF7">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4</w:t>
            </w:r>
          </w:p>
        </w:tc>
        <w:tc>
          <w:tcPr>
            <w:tcW w:w="147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9768F7">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25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77A14A">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5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352E32">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2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6FEE4C">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6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EF9D46">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r>
      <w:tr w14:paraId="0F0E8B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84B1E6">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5</w:t>
            </w:r>
          </w:p>
        </w:tc>
        <w:tc>
          <w:tcPr>
            <w:tcW w:w="147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F91C024">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25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B8774A">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5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72AEAC">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2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74C1515">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6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8244DD">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r>
      <w:tr w14:paraId="2EF960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DCB6887">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6</w:t>
            </w:r>
          </w:p>
        </w:tc>
        <w:tc>
          <w:tcPr>
            <w:tcW w:w="147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5A2D64">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25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04D3AC">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5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1E5D7F8">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2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AC866AA">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6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6C388E">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r>
      <w:tr w14:paraId="1DFD4C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FC81E8">
            <w:pPr>
              <w:widowControl/>
              <w:pBdr>
                <w:top w:val="none" w:color="000000" w:sz="0" w:space="0"/>
                <w:left w:val="none" w:color="000000" w:sz="0" w:space="0"/>
                <w:bottom w:val="none" w:color="000000" w:sz="0" w:space="0"/>
                <w:right w:val="none" w:color="000000" w:sz="0" w:space="0"/>
              </w:pBdr>
              <w:spacing w:line="85" w:lineRule="atLeast"/>
              <w:ind w:firstLine="0" w:firstLineChars="0"/>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w:t>
            </w:r>
          </w:p>
        </w:tc>
        <w:tc>
          <w:tcPr>
            <w:tcW w:w="147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F4C3BD8">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25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6B10FB6">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5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188FAE">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2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7082F2">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6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EB458E">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r>
      <w:tr w14:paraId="02D764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B6316A">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47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04E4BF">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25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BB6BC49">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5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5EBD7B">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2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963B18">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6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2866C0">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r>
      <w:tr w14:paraId="74F7F9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7EE7E6">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47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8A1DB99">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25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24F111">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5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80539B">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72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2B327F">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c>
          <w:tcPr>
            <w:tcW w:w="163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EB47D8">
            <w:pPr>
              <w:widowControl/>
              <w:pBdr>
                <w:top w:val="none" w:color="000000" w:sz="0" w:space="0"/>
                <w:left w:val="none" w:color="000000" w:sz="0" w:space="0"/>
                <w:bottom w:val="none" w:color="000000" w:sz="0" w:space="0"/>
                <w:right w:val="none" w:color="000000" w:sz="0" w:space="0"/>
              </w:pBdr>
              <w:spacing w:line="85" w:lineRule="atLeast"/>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 </w:t>
            </w:r>
          </w:p>
        </w:tc>
      </w:tr>
    </w:tbl>
    <w:p w14:paraId="62098DB9">
      <w:pPr>
        <w:widowControl/>
        <w:pBdr>
          <w:top w:val="none" w:color="000000" w:sz="0" w:space="0"/>
          <w:left w:val="none" w:color="000000" w:sz="0" w:space="0"/>
          <w:bottom w:val="none" w:color="000000" w:sz="0" w:space="0"/>
          <w:right w:val="none" w:color="000000" w:sz="0" w:space="0"/>
        </w:pBdr>
        <w:spacing w:line="439"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附：按照</w:t>
      </w:r>
      <w:r>
        <w:rPr>
          <w:rFonts w:hint="eastAsia" w:ascii="宋体" w:hAnsi="宋体" w:cs="宋体"/>
          <w:color w:val="auto"/>
          <w:kern w:val="0"/>
          <w:highlight w:val="none"/>
        </w:rPr>
        <w:t>采购文件</w:t>
      </w:r>
      <w:r>
        <w:rPr>
          <w:rFonts w:ascii="宋体" w:hAnsi="宋体" w:cs="宋体"/>
          <w:color w:val="auto"/>
          <w:kern w:val="0"/>
          <w:highlight w:val="none"/>
        </w:rPr>
        <w:t>要求及评分标准提供相应证明材料</w:t>
      </w:r>
    </w:p>
    <w:p w14:paraId="07EAB887">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 xml:space="preserve">响应单位（单位盖章）： </w:t>
      </w:r>
    </w:p>
    <w:p w14:paraId="396A0A4A">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法定代表人或代理人（签字或盖章）：</w:t>
      </w:r>
    </w:p>
    <w:p w14:paraId="60AB4380">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color w:val="auto"/>
          <w:kern w:val="0"/>
          <w:sz w:val="22"/>
          <w:highlight w:val="none"/>
        </w:rPr>
      </w:pPr>
      <w:r>
        <w:rPr>
          <w:rFonts w:ascii="宋体" w:hAnsi="宋体" w:cs="宋体"/>
          <w:color w:val="auto"/>
          <w:kern w:val="0"/>
          <w:highlight w:val="none"/>
        </w:rPr>
        <w:t>日期：年月日</w:t>
      </w:r>
    </w:p>
    <w:p w14:paraId="7EFBEBBD">
      <w:pPr>
        <w:widowControl/>
        <w:pBdr>
          <w:top w:val="none" w:color="000000" w:sz="0" w:space="0"/>
          <w:left w:val="none" w:color="000000" w:sz="0" w:space="0"/>
          <w:bottom w:val="none" w:color="000000" w:sz="0" w:space="0"/>
          <w:right w:val="none" w:color="000000" w:sz="0" w:space="0"/>
        </w:pBdr>
        <w:spacing w:line="276" w:lineRule="auto"/>
        <w:ind w:firstLine="440"/>
        <w:rPr>
          <w:rFonts w:ascii="Arial" w:hAnsi="Arial" w:eastAsia="Arial" w:cs="Times New Roman"/>
          <w:color w:val="auto"/>
          <w:kern w:val="0"/>
          <w:sz w:val="22"/>
          <w:highlight w:val="none"/>
        </w:rPr>
      </w:pPr>
      <w:r>
        <w:rPr>
          <w:rFonts w:ascii="Arial" w:hAnsi="Arial" w:eastAsia="Arial" w:cs="Times New Roman"/>
          <w:color w:val="auto"/>
          <w:kern w:val="0"/>
          <w:sz w:val="22"/>
          <w:highlight w:val="none"/>
        </w:rPr>
        <w:br w:type="page" w:clear="all"/>
      </w:r>
    </w:p>
    <w:p w14:paraId="4F2E56BD">
      <w:pPr>
        <w:widowControl/>
        <w:pBdr>
          <w:top w:val="none" w:color="000000" w:sz="0" w:space="0"/>
          <w:left w:val="none" w:color="000000" w:sz="0" w:space="0"/>
          <w:bottom w:val="none" w:color="000000" w:sz="0" w:space="0"/>
          <w:right w:val="none" w:color="000000" w:sz="0" w:space="0"/>
        </w:pBdr>
        <w:spacing w:line="85" w:lineRule="atLeast"/>
        <w:ind w:firstLine="562"/>
        <w:rPr>
          <w:rFonts w:ascii="宋体" w:hAnsi="宋体" w:eastAsia="宋体" w:cs="宋体"/>
          <w:b/>
          <w:color w:val="auto"/>
          <w:kern w:val="0"/>
          <w:sz w:val="28"/>
          <w:highlight w:val="none"/>
        </w:rPr>
      </w:pPr>
      <w:r>
        <w:rPr>
          <w:rFonts w:ascii="宋体" w:hAnsi="宋体" w:eastAsia="宋体" w:cs="宋体"/>
          <w:b/>
          <w:color w:val="auto"/>
          <w:kern w:val="0"/>
          <w:sz w:val="28"/>
          <w:highlight w:val="none"/>
        </w:rPr>
        <w:t>1</w:t>
      </w:r>
      <w:r>
        <w:rPr>
          <w:rFonts w:hint="eastAsia" w:ascii="宋体" w:hAnsi="宋体" w:eastAsia="宋体" w:cs="宋体"/>
          <w:b/>
          <w:color w:val="auto"/>
          <w:kern w:val="0"/>
          <w:sz w:val="28"/>
          <w:highlight w:val="none"/>
          <w:lang w:val="en-US" w:eastAsia="zh-CN"/>
        </w:rPr>
        <w:t>1</w:t>
      </w:r>
      <w:r>
        <w:rPr>
          <w:rFonts w:ascii="宋体" w:hAnsi="宋体" w:eastAsia="宋体" w:cs="宋体"/>
          <w:b/>
          <w:color w:val="auto"/>
          <w:kern w:val="0"/>
          <w:sz w:val="28"/>
          <w:highlight w:val="none"/>
        </w:rPr>
        <w:t>、拟投入本项目的专业技术（服务）人员情况一览表</w:t>
      </w:r>
    </w:p>
    <w:p w14:paraId="278394C3">
      <w:pPr>
        <w:widowControl/>
        <w:pBdr>
          <w:top w:val="none" w:color="000000" w:sz="0" w:space="0"/>
          <w:left w:val="none" w:color="000000" w:sz="0" w:space="0"/>
          <w:bottom w:val="none" w:color="000000" w:sz="0" w:space="0"/>
          <w:right w:val="none" w:color="000000" w:sz="0" w:space="0"/>
        </w:pBdr>
        <w:spacing w:before="240" w:after="240" w:line="276" w:lineRule="auto"/>
        <w:ind w:firstLine="562"/>
        <w:jc w:val="left"/>
        <w:rPr>
          <w:rFonts w:ascii="Arial" w:hAnsi="Arial" w:eastAsia="Arial" w:cs="Times New Roman"/>
          <w:color w:val="auto"/>
          <w:kern w:val="0"/>
          <w:sz w:val="22"/>
          <w:highlight w:val="none"/>
        </w:rPr>
      </w:pPr>
      <w:r>
        <w:rPr>
          <w:rFonts w:ascii="宋体" w:hAnsi="宋体" w:cs="宋体"/>
          <w:b/>
          <w:color w:val="auto"/>
          <w:kern w:val="0"/>
          <w:sz w:val="28"/>
          <w:highlight w:val="none"/>
        </w:rPr>
        <w:t>拟投入本项目的专业技术（服务）人员情况一览表</w:t>
      </w:r>
    </w:p>
    <w:tbl>
      <w:tblPr>
        <w:tblStyle w:val="2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03"/>
        <w:gridCol w:w="1707"/>
        <w:gridCol w:w="1063"/>
        <w:gridCol w:w="894"/>
        <w:gridCol w:w="677"/>
        <w:gridCol w:w="948"/>
        <w:gridCol w:w="1498"/>
        <w:gridCol w:w="836"/>
      </w:tblGrid>
      <w:tr w14:paraId="305ABA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4CCC2F44">
            <w:pPr>
              <w:widowControl/>
              <w:pBdr>
                <w:top w:val="none" w:color="000000" w:sz="0" w:space="0"/>
                <w:left w:val="none" w:color="000000" w:sz="0" w:space="0"/>
                <w:bottom w:val="none" w:color="000000" w:sz="0" w:space="0"/>
                <w:right w:val="none" w:color="000000" w:sz="0" w:space="0"/>
              </w:pBdr>
              <w:ind w:firstLine="0" w:firstLineChars="0"/>
              <w:jc w:val="center"/>
              <w:rPr>
                <w:rFonts w:ascii="Arial" w:hAnsi="Arial" w:eastAsia="Arial" w:cs="Times New Roman"/>
                <w:color w:val="auto"/>
                <w:kern w:val="0"/>
                <w:sz w:val="22"/>
                <w:highlight w:val="none"/>
                <w:lang w:eastAsia="en-US"/>
              </w:rPr>
            </w:pPr>
            <w:r>
              <w:rPr>
                <w:rFonts w:ascii="宋体" w:hAnsi="宋体" w:cs="宋体"/>
                <w:b/>
                <w:color w:val="auto"/>
                <w:kern w:val="0"/>
                <w:highlight w:val="none"/>
                <w:lang w:eastAsia="en-US"/>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6DD62FBA">
            <w:pPr>
              <w:widowControl/>
              <w:pBdr>
                <w:top w:val="none" w:color="000000" w:sz="0" w:space="0"/>
                <w:left w:val="none" w:color="000000" w:sz="0" w:space="0"/>
                <w:bottom w:val="none" w:color="000000" w:sz="0" w:space="0"/>
                <w:right w:val="none" w:color="000000" w:sz="0" w:space="0"/>
              </w:pBdr>
              <w:ind w:firstLine="0" w:firstLineChars="0"/>
              <w:jc w:val="center"/>
              <w:rPr>
                <w:rFonts w:ascii="Arial" w:hAnsi="Arial" w:eastAsia="Arial" w:cs="Times New Roman"/>
                <w:color w:val="auto"/>
                <w:kern w:val="0"/>
                <w:sz w:val="22"/>
                <w:highlight w:val="none"/>
                <w:lang w:eastAsia="en-US"/>
              </w:rPr>
            </w:pPr>
            <w:r>
              <w:rPr>
                <w:rFonts w:ascii="宋体" w:hAnsi="宋体" w:cs="宋体"/>
                <w:b/>
                <w:color w:val="auto"/>
                <w:kern w:val="0"/>
                <w:highlight w:val="none"/>
                <w:lang w:eastAsia="en-US"/>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5111105E">
            <w:pPr>
              <w:widowControl/>
              <w:pBdr>
                <w:top w:val="none" w:color="000000" w:sz="0" w:space="0"/>
                <w:left w:val="none" w:color="000000" w:sz="0" w:space="0"/>
                <w:bottom w:val="none" w:color="000000" w:sz="0" w:space="0"/>
                <w:right w:val="none" w:color="000000" w:sz="0" w:space="0"/>
              </w:pBdr>
              <w:ind w:firstLine="0" w:firstLineChars="0"/>
              <w:jc w:val="center"/>
              <w:rPr>
                <w:rFonts w:ascii="Arial" w:hAnsi="Arial" w:eastAsia="Arial" w:cs="Times New Roman"/>
                <w:color w:val="auto"/>
                <w:kern w:val="0"/>
                <w:sz w:val="22"/>
                <w:highlight w:val="none"/>
                <w:lang w:eastAsia="en-US"/>
              </w:rPr>
            </w:pPr>
            <w:r>
              <w:rPr>
                <w:rFonts w:ascii="宋体" w:hAnsi="宋体" w:cs="宋体"/>
                <w:b/>
                <w:color w:val="auto"/>
                <w:kern w:val="0"/>
                <w:highlight w:val="none"/>
                <w:lang w:eastAsia="en-US"/>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0FFADF24">
            <w:pPr>
              <w:widowControl/>
              <w:pBdr>
                <w:top w:val="none" w:color="000000" w:sz="0" w:space="0"/>
                <w:left w:val="none" w:color="000000" w:sz="0" w:space="0"/>
                <w:bottom w:val="none" w:color="000000" w:sz="0" w:space="0"/>
                <w:right w:val="none" w:color="000000" w:sz="0" w:space="0"/>
              </w:pBdr>
              <w:ind w:firstLine="0" w:firstLineChars="0"/>
              <w:jc w:val="center"/>
              <w:rPr>
                <w:rFonts w:ascii="Arial" w:hAnsi="Arial" w:eastAsia="Arial" w:cs="Times New Roman"/>
                <w:color w:val="auto"/>
                <w:kern w:val="0"/>
                <w:sz w:val="22"/>
                <w:highlight w:val="none"/>
                <w:lang w:eastAsia="en-US"/>
              </w:rPr>
            </w:pPr>
            <w:r>
              <w:rPr>
                <w:rFonts w:ascii="宋体" w:hAnsi="宋体" w:cs="宋体"/>
                <w:b/>
                <w:color w:val="auto"/>
                <w:kern w:val="0"/>
                <w:highlight w:val="none"/>
                <w:lang w:eastAsia="en-US"/>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6B87EB7">
            <w:pPr>
              <w:widowControl/>
              <w:pBdr>
                <w:top w:val="none" w:color="000000" w:sz="0" w:space="0"/>
                <w:left w:val="none" w:color="000000" w:sz="0" w:space="0"/>
                <w:bottom w:val="none" w:color="000000" w:sz="0" w:space="0"/>
                <w:right w:val="none" w:color="000000" w:sz="0" w:space="0"/>
              </w:pBdr>
              <w:ind w:firstLine="0" w:firstLineChars="0"/>
              <w:jc w:val="center"/>
              <w:rPr>
                <w:rFonts w:ascii="Arial" w:hAnsi="Arial" w:eastAsia="Arial" w:cs="Times New Roman"/>
                <w:color w:val="auto"/>
                <w:kern w:val="0"/>
                <w:sz w:val="22"/>
                <w:highlight w:val="none"/>
                <w:lang w:eastAsia="en-US"/>
              </w:rPr>
            </w:pPr>
            <w:r>
              <w:rPr>
                <w:rFonts w:ascii="宋体" w:hAnsi="宋体" w:cs="宋体"/>
                <w:b/>
                <w:color w:val="auto"/>
                <w:kern w:val="0"/>
                <w:highlight w:val="none"/>
                <w:lang w:eastAsia="en-US"/>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E353398">
            <w:pPr>
              <w:widowControl/>
              <w:pBdr>
                <w:top w:val="none" w:color="000000" w:sz="0" w:space="0"/>
                <w:left w:val="none" w:color="000000" w:sz="0" w:space="0"/>
                <w:bottom w:val="none" w:color="000000" w:sz="0" w:space="0"/>
                <w:right w:val="none" w:color="000000" w:sz="0" w:space="0"/>
              </w:pBdr>
              <w:ind w:firstLine="0" w:firstLineChars="0"/>
              <w:jc w:val="center"/>
              <w:rPr>
                <w:rFonts w:ascii="Arial" w:hAnsi="Arial" w:eastAsia="Arial" w:cs="Times New Roman"/>
                <w:color w:val="auto"/>
                <w:kern w:val="0"/>
                <w:sz w:val="22"/>
                <w:highlight w:val="none"/>
                <w:lang w:eastAsia="en-US"/>
              </w:rPr>
            </w:pPr>
            <w:r>
              <w:rPr>
                <w:rFonts w:ascii="宋体" w:hAnsi="宋体" w:cs="宋体"/>
                <w:b/>
                <w:color w:val="auto"/>
                <w:kern w:val="0"/>
                <w:highlight w:val="none"/>
                <w:lang w:eastAsia="en-US"/>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38207ED5">
            <w:pPr>
              <w:widowControl/>
              <w:pBdr>
                <w:top w:val="none" w:color="000000" w:sz="0" w:space="0"/>
                <w:left w:val="none" w:color="000000" w:sz="0" w:space="0"/>
                <w:bottom w:val="none" w:color="000000" w:sz="0" w:space="0"/>
                <w:right w:val="none" w:color="000000" w:sz="0" w:space="0"/>
              </w:pBdr>
              <w:ind w:firstLine="0" w:firstLineChars="0"/>
              <w:jc w:val="center"/>
              <w:rPr>
                <w:rFonts w:ascii="Arial" w:hAnsi="Arial" w:eastAsia="Arial" w:cs="Times New Roman"/>
                <w:color w:val="auto"/>
                <w:kern w:val="0"/>
                <w:sz w:val="22"/>
                <w:highlight w:val="none"/>
                <w:lang w:eastAsia="en-US"/>
              </w:rPr>
            </w:pPr>
            <w:r>
              <w:rPr>
                <w:rFonts w:ascii="宋体" w:hAnsi="宋体" w:cs="宋体"/>
                <w:b/>
                <w:color w:val="auto"/>
                <w:kern w:val="0"/>
                <w:highlight w:val="none"/>
                <w:lang w:eastAsia="en-US"/>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D1D9697">
            <w:pPr>
              <w:widowControl/>
              <w:pBdr>
                <w:top w:val="none" w:color="000000" w:sz="0" w:space="0"/>
                <w:left w:val="none" w:color="000000" w:sz="0" w:space="0"/>
                <w:bottom w:val="none" w:color="000000" w:sz="0" w:space="0"/>
                <w:right w:val="none" w:color="000000" w:sz="0" w:space="0"/>
              </w:pBdr>
              <w:ind w:firstLine="0" w:firstLineChars="0"/>
              <w:jc w:val="center"/>
              <w:rPr>
                <w:rFonts w:ascii="Arial" w:hAnsi="Arial" w:eastAsia="Arial" w:cs="Times New Roman"/>
                <w:color w:val="auto"/>
                <w:kern w:val="0"/>
                <w:sz w:val="22"/>
                <w:highlight w:val="none"/>
                <w:lang w:eastAsia="en-US"/>
              </w:rPr>
            </w:pPr>
            <w:r>
              <w:rPr>
                <w:rFonts w:ascii="宋体" w:hAnsi="宋体" w:cs="宋体"/>
                <w:b/>
                <w:color w:val="auto"/>
                <w:kern w:val="0"/>
                <w:highlight w:val="none"/>
                <w:lang w:eastAsia="en-US"/>
              </w:rPr>
              <w:t>备注</w:t>
            </w:r>
          </w:p>
        </w:tc>
      </w:tr>
      <w:tr w14:paraId="5120F2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50856FE">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0FAB40C6">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2CA85C1C">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646A8CBC">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2879F20">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3852CB25">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3DF893FC">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041BFE76">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r>
      <w:tr w14:paraId="663A32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73AF74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05F98FB">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2AD24BF6">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29F41E8E">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0078C4B9">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509F923F">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1460174">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53B1EBD4">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r>
      <w:tr w14:paraId="05540D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DC2EB26">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2F959218">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1AF7082D">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63472EE">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17A49822">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81C8C25">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5A929EBD">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64ADFAB">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r>
      <w:tr w14:paraId="5BB7A2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02897BCA">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636366CE">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color w:val="auto"/>
                <w:kern w:val="0"/>
                <w:sz w:val="22"/>
                <w:highlight w:val="none"/>
                <w:lang w:eastAsia="en-US"/>
              </w:rPr>
            </w:pPr>
            <w:r>
              <w:rPr>
                <w:rFonts w:ascii="宋体" w:hAnsi="宋体" w:cs="宋体"/>
                <w:color w:val="auto"/>
                <w:kern w:val="0"/>
                <w:highlight w:val="none"/>
                <w:lang w:eastAsia="en-US"/>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07CB1355">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DB71E09">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2DDA7A61">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394849AE">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064629FF">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40096EE">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r>
      <w:tr w14:paraId="5A1900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4744C03F">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4E2FBEC3">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1D0EF29E">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4B91B78">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1DEA3CAA">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6768A8A2">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22F3A245">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26C06560">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r>
      <w:tr w14:paraId="692CA3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BB60935">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433F7477">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3EEFD4FF">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EA12F05">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3ED644A3">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4E197549">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00D2BF5E">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FC64F13">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r>
      <w:tr w14:paraId="4B0AC5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2A4C787C">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B1BF594">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2E558C74">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5943EA6D">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2EAEFD66">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275971DC">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0DAA35E9">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2059C58B">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r>
      <w:tr w14:paraId="28BA13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62AAB580">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43B67EAC">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47A7A782">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C9AE683">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3A732F33">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E9043E8">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74409B2">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CC07D10">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r>
      <w:tr w14:paraId="34086F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20679ADD">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9B7B04D">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890CDD8">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05717AA">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51E2611">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71115103">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tcPr>
          <w:p w14:paraId="140FFF23">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06AFAE9F">
            <w:pPr>
              <w:widowControl/>
              <w:pBdr>
                <w:top w:val="none" w:color="000000" w:sz="0" w:space="0"/>
                <w:left w:val="none" w:color="000000" w:sz="0" w:space="0"/>
                <w:bottom w:val="none" w:color="000000" w:sz="0" w:space="0"/>
                <w:right w:val="none" w:color="000000" w:sz="0" w:space="0"/>
              </w:pBdr>
              <w:ind w:firstLine="440"/>
              <w:jc w:val="center"/>
              <w:rPr>
                <w:rFonts w:ascii="Arial" w:hAnsi="Arial" w:eastAsia="Arial" w:cs="Times New Roman"/>
                <w:color w:val="auto"/>
                <w:kern w:val="0"/>
                <w:sz w:val="22"/>
                <w:highlight w:val="none"/>
                <w:lang w:eastAsia="en-US"/>
              </w:rPr>
            </w:pPr>
          </w:p>
        </w:tc>
      </w:tr>
    </w:tbl>
    <w:p w14:paraId="2FC7BBCC">
      <w:pPr>
        <w:widowControl/>
        <w:pBdr>
          <w:top w:val="none" w:color="000000" w:sz="0" w:space="0"/>
          <w:left w:val="none" w:color="000000" w:sz="0" w:space="0"/>
          <w:bottom w:val="none" w:color="000000" w:sz="0" w:space="0"/>
          <w:right w:val="none" w:color="000000" w:sz="0" w:space="0"/>
        </w:pBdr>
        <w:spacing w:line="419" w:lineRule="atLeast"/>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附：1、按照</w:t>
      </w:r>
      <w:r>
        <w:rPr>
          <w:rFonts w:hint="eastAsia" w:ascii="宋体" w:hAnsi="宋体" w:cs="宋体"/>
          <w:color w:val="auto"/>
          <w:kern w:val="0"/>
          <w:highlight w:val="none"/>
        </w:rPr>
        <w:t>采购文件</w:t>
      </w:r>
      <w:r>
        <w:rPr>
          <w:rFonts w:ascii="宋体" w:hAnsi="宋体" w:cs="宋体"/>
          <w:color w:val="auto"/>
          <w:kern w:val="0"/>
          <w:highlight w:val="none"/>
        </w:rPr>
        <w:t>要求提供相应资质证明材料。</w:t>
      </w:r>
    </w:p>
    <w:p w14:paraId="128FDF0F">
      <w:pPr>
        <w:widowControl/>
        <w:pBdr>
          <w:top w:val="none" w:color="000000" w:sz="0" w:space="0"/>
          <w:left w:val="none" w:color="000000" w:sz="0" w:space="0"/>
          <w:bottom w:val="none" w:color="000000" w:sz="0" w:space="0"/>
          <w:right w:val="none" w:color="000000" w:sz="0" w:space="0"/>
        </w:pBdr>
        <w:spacing w:line="419"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 </w:t>
      </w:r>
    </w:p>
    <w:p w14:paraId="63DB930D">
      <w:pPr>
        <w:widowControl/>
        <w:pBdr>
          <w:top w:val="none" w:color="000000" w:sz="0" w:space="0"/>
          <w:left w:val="none" w:color="000000" w:sz="0" w:space="0"/>
          <w:bottom w:val="none" w:color="000000" w:sz="0" w:space="0"/>
          <w:right w:val="none" w:color="000000" w:sz="0" w:space="0"/>
        </w:pBdr>
        <w:spacing w:line="312" w:lineRule="atLeast"/>
        <w:ind w:firstLine="560"/>
        <w:rPr>
          <w:rFonts w:ascii="Arial" w:hAnsi="Arial" w:eastAsia="Arial" w:cs="Times New Roman"/>
          <w:color w:val="auto"/>
          <w:kern w:val="0"/>
          <w:sz w:val="22"/>
          <w:highlight w:val="none"/>
        </w:rPr>
      </w:pPr>
      <w:r>
        <w:rPr>
          <w:rFonts w:ascii="宋体" w:hAnsi="宋体" w:cs="宋体"/>
          <w:color w:val="auto"/>
          <w:kern w:val="0"/>
          <w:sz w:val="28"/>
          <w:highlight w:val="none"/>
        </w:rPr>
        <w:t> </w:t>
      </w:r>
    </w:p>
    <w:p w14:paraId="778D62D7">
      <w:pPr>
        <w:widowControl/>
        <w:pBdr>
          <w:top w:val="none" w:color="000000" w:sz="0" w:space="0"/>
          <w:left w:val="none" w:color="000000" w:sz="0" w:space="0"/>
          <w:bottom w:val="none" w:color="000000" w:sz="0" w:space="0"/>
          <w:right w:val="none" w:color="000000" w:sz="0" w:space="0"/>
        </w:pBdr>
        <w:spacing w:line="312" w:lineRule="atLeast"/>
        <w:ind w:firstLine="560"/>
        <w:rPr>
          <w:rFonts w:ascii="Arial" w:hAnsi="Arial" w:eastAsia="Arial" w:cs="Times New Roman"/>
          <w:color w:val="auto"/>
          <w:kern w:val="0"/>
          <w:sz w:val="22"/>
          <w:highlight w:val="none"/>
        </w:rPr>
      </w:pPr>
      <w:r>
        <w:rPr>
          <w:rFonts w:ascii="宋体" w:hAnsi="宋体" w:cs="宋体"/>
          <w:color w:val="auto"/>
          <w:kern w:val="0"/>
          <w:sz w:val="28"/>
          <w:highlight w:val="none"/>
        </w:rPr>
        <w:t> </w:t>
      </w:r>
    </w:p>
    <w:p w14:paraId="350D076E">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 xml:space="preserve">响应单位（单位盖章）： </w:t>
      </w:r>
    </w:p>
    <w:p w14:paraId="453821F1">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法定代表人或代理人（签字或盖章）</w:t>
      </w:r>
    </w:p>
    <w:p w14:paraId="2965EAB5">
      <w:pPr>
        <w:widowControl/>
        <w:pBdr>
          <w:top w:val="none" w:color="000000" w:sz="0" w:space="0"/>
          <w:left w:val="none" w:color="000000" w:sz="0" w:space="0"/>
          <w:bottom w:val="none" w:color="000000" w:sz="0" w:space="0"/>
          <w:right w:val="none" w:color="000000" w:sz="0" w:space="0"/>
        </w:pBdr>
        <w:spacing w:line="312"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日期：年月日</w:t>
      </w:r>
    </w:p>
    <w:p w14:paraId="7F343FAF">
      <w:pPr>
        <w:widowControl/>
        <w:pBdr>
          <w:top w:val="none" w:color="000000" w:sz="0" w:space="0"/>
          <w:left w:val="none" w:color="000000" w:sz="0" w:space="0"/>
          <w:bottom w:val="none" w:color="000000" w:sz="0" w:space="0"/>
          <w:right w:val="none" w:color="000000" w:sz="0" w:space="0"/>
        </w:pBdr>
        <w:spacing w:line="85" w:lineRule="atLeast"/>
        <w:ind w:firstLine="562"/>
        <w:rPr>
          <w:rFonts w:hint="eastAsia" w:ascii="宋体" w:hAnsi="宋体" w:cs="宋体"/>
          <w:b/>
          <w:color w:val="auto"/>
          <w:kern w:val="0"/>
          <w:sz w:val="28"/>
          <w:highlight w:val="none"/>
        </w:rPr>
      </w:pPr>
    </w:p>
    <w:p w14:paraId="4D661D14">
      <w:pPr>
        <w:widowControl/>
        <w:pBdr>
          <w:top w:val="none" w:color="000000" w:sz="0" w:space="0"/>
          <w:left w:val="none" w:color="000000" w:sz="0" w:space="0"/>
          <w:bottom w:val="none" w:color="000000" w:sz="0" w:space="0"/>
          <w:right w:val="none" w:color="000000" w:sz="0" w:space="0"/>
        </w:pBdr>
        <w:spacing w:line="85" w:lineRule="atLeast"/>
        <w:ind w:firstLine="562"/>
        <w:rPr>
          <w:rFonts w:hint="eastAsia" w:ascii="宋体" w:hAnsi="宋体" w:cs="宋体"/>
          <w:b/>
          <w:color w:val="auto"/>
          <w:kern w:val="0"/>
          <w:sz w:val="28"/>
          <w:highlight w:val="none"/>
        </w:rPr>
      </w:pPr>
    </w:p>
    <w:p w14:paraId="31A01287">
      <w:pPr>
        <w:widowControl/>
        <w:pBdr>
          <w:top w:val="none" w:color="000000" w:sz="0" w:space="0"/>
          <w:left w:val="none" w:color="000000" w:sz="0" w:space="0"/>
          <w:bottom w:val="none" w:color="000000" w:sz="0" w:space="0"/>
          <w:right w:val="none" w:color="000000" w:sz="0" w:space="0"/>
        </w:pBdr>
        <w:spacing w:line="85" w:lineRule="atLeast"/>
        <w:ind w:firstLine="562"/>
        <w:rPr>
          <w:rFonts w:hint="eastAsia" w:ascii="宋体" w:hAnsi="宋体" w:cs="宋体"/>
          <w:b/>
          <w:color w:val="auto"/>
          <w:kern w:val="0"/>
          <w:sz w:val="28"/>
          <w:highlight w:val="none"/>
        </w:rPr>
      </w:pPr>
    </w:p>
    <w:p w14:paraId="41EA6465">
      <w:pPr>
        <w:widowControl/>
        <w:pBdr>
          <w:top w:val="none" w:color="000000" w:sz="0" w:space="0"/>
          <w:left w:val="none" w:color="000000" w:sz="0" w:space="0"/>
          <w:bottom w:val="none" w:color="000000" w:sz="0" w:space="0"/>
          <w:right w:val="none" w:color="000000" w:sz="0" w:space="0"/>
        </w:pBdr>
        <w:spacing w:line="85" w:lineRule="atLeast"/>
        <w:ind w:firstLine="562"/>
        <w:rPr>
          <w:rFonts w:hint="eastAsia" w:ascii="宋体" w:hAnsi="宋体" w:cs="宋体"/>
          <w:b/>
          <w:color w:val="auto"/>
          <w:kern w:val="0"/>
          <w:sz w:val="28"/>
          <w:highlight w:val="none"/>
        </w:rPr>
      </w:pPr>
    </w:p>
    <w:p w14:paraId="7A380FAD">
      <w:pPr>
        <w:widowControl/>
        <w:pBdr>
          <w:top w:val="none" w:color="000000" w:sz="0" w:space="0"/>
          <w:left w:val="none" w:color="000000" w:sz="0" w:space="0"/>
          <w:bottom w:val="none" w:color="000000" w:sz="0" w:space="0"/>
          <w:right w:val="none" w:color="000000" w:sz="0" w:space="0"/>
        </w:pBdr>
        <w:spacing w:line="85" w:lineRule="atLeast"/>
        <w:ind w:firstLine="562"/>
        <w:rPr>
          <w:rFonts w:hint="eastAsia" w:ascii="宋体" w:hAnsi="宋体" w:cs="宋体"/>
          <w:b/>
          <w:bCs/>
          <w:color w:val="auto"/>
          <w:kern w:val="0"/>
          <w:sz w:val="28"/>
          <w:szCs w:val="28"/>
          <w:highlight w:val="none"/>
        </w:rPr>
      </w:pPr>
      <w:r>
        <w:rPr>
          <w:rFonts w:ascii="宋体" w:hAnsi="宋体" w:cs="宋体"/>
          <w:b/>
          <w:color w:val="auto"/>
          <w:kern w:val="0"/>
          <w:sz w:val="28"/>
          <w:highlight w:val="none"/>
        </w:rPr>
        <w:t>1</w:t>
      </w:r>
      <w:r>
        <w:rPr>
          <w:rFonts w:hint="eastAsia" w:ascii="宋体" w:hAnsi="宋体" w:cs="宋体"/>
          <w:b/>
          <w:color w:val="auto"/>
          <w:kern w:val="0"/>
          <w:sz w:val="28"/>
          <w:highlight w:val="none"/>
          <w:lang w:val="en-US" w:eastAsia="zh-CN"/>
        </w:rPr>
        <w:t>2</w:t>
      </w:r>
      <w:r>
        <w:rPr>
          <w:rFonts w:ascii="宋体" w:hAnsi="宋体" w:cs="宋体"/>
          <w:b/>
          <w:color w:val="auto"/>
          <w:kern w:val="0"/>
          <w:sz w:val="28"/>
          <w:highlight w:val="none"/>
        </w:rPr>
        <w:t>、中小企业声明函</w:t>
      </w:r>
    </w:p>
    <w:p w14:paraId="6D651764">
      <w:pPr>
        <w:widowControl/>
        <w:pBdr>
          <w:top w:val="none" w:color="000000" w:sz="0" w:space="0"/>
          <w:left w:val="none" w:color="000000" w:sz="0" w:space="0"/>
          <w:bottom w:val="none" w:color="000000" w:sz="0" w:space="0"/>
          <w:right w:val="none" w:color="000000" w:sz="0" w:space="0"/>
        </w:pBdr>
        <w:spacing w:line="276" w:lineRule="auto"/>
        <w:ind w:firstLine="560"/>
        <w:jc w:val="center"/>
        <w:rPr>
          <w:rFonts w:ascii="Arial" w:hAnsi="Arial" w:eastAsia="Arial" w:cs="Times New Roman"/>
          <w:color w:val="auto"/>
          <w:kern w:val="0"/>
          <w:sz w:val="22"/>
          <w:highlight w:val="none"/>
        </w:rPr>
      </w:pPr>
      <w:bookmarkStart w:id="8" w:name="OLE_LINK7"/>
      <w:r>
        <w:rPr>
          <w:rFonts w:ascii="宋体" w:hAnsi="宋体" w:cs="宋体"/>
          <w:color w:val="auto"/>
          <w:kern w:val="0"/>
          <w:sz w:val="28"/>
          <w:highlight w:val="none"/>
        </w:rPr>
        <w:t>中小企业声明函（服务）</w:t>
      </w:r>
    </w:p>
    <w:p w14:paraId="6CC3A367">
      <w:pPr>
        <w:widowControl/>
        <w:pBdr>
          <w:top w:val="none" w:color="000000" w:sz="0" w:space="0"/>
          <w:left w:val="none" w:color="000000" w:sz="0" w:space="0"/>
          <w:bottom w:val="none" w:color="000000" w:sz="0" w:space="0"/>
          <w:right w:val="none" w:color="000000" w:sz="0" w:space="0"/>
        </w:pBdr>
        <w:spacing w:line="439" w:lineRule="atLeast"/>
        <w:ind w:firstLine="480"/>
        <w:rPr>
          <w:rFonts w:ascii="Arial" w:hAnsi="Arial" w:eastAsia="Arial" w:cs="Times New Roman"/>
          <w:color w:val="auto"/>
          <w:kern w:val="0"/>
          <w:sz w:val="22"/>
          <w:highlight w:val="none"/>
        </w:rPr>
      </w:pPr>
      <w:r>
        <w:rPr>
          <w:rFonts w:ascii="宋体" w:hAnsi="宋体" w:cs="宋体"/>
          <w:color w:val="auto"/>
          <w:kern w:val="0"/>
          <w:highlight w:val="none"/>
        </w:rPr>
        <w:t>本公司郑重声明，根据《政府采购促进中小企业发展管理办法》（财库﹝2020﹞46号）的规定，本公司参加</w:t>
      </w:r>
      <w:r>
        <w:rPr>
          <w:rFonts w:ascii="宋体" w:hAnsi="宋体" w:cs="宋体"/>
          <w:color w:val="auto"/>
          <w:kern w:val="0"/>
          <w:highlight w:val="none"/>
          <w:u w:val="single"/>
        </w:rPr>
        <w:t>（</w:t>
      </w:r>
      <w:r>
        <w:rPr>
          <w:rFonts w:hint="eastAsia" w:ascii="宋体" w:hAnsi="宋体" w:cs="宋体"/>
          <w:b/>
          <w:bCs/>
          <w:i/>
          <w:color w:val="auto"/>
          <w:kern w:val="0"/>
          <w:highlight w:val="none"/>
          <w:u w:val="single"/>
          <w:lang w:val="en-US" w:eastAsia="zh-CN"/>
        </w:rPr>
        <w:t>江苏太仓港口管理委员会</w:t>
      </w:r>
      <w:r>
        <w:rPr>
          <w:rFonts w:ascii="宋体" w:hAnsi="宋体" w:cs="宋体"/>
          <w:i/>
          <w:color w:val="auto"/>
          <w:kern w:val="0"/>
          <w:highlight w:val="none"/>
          <w:u w:val="single"/>
        </w:rPr>
        <w:t>）</w:t>
      </w:r>
      <w:r>
        <w:rPr>
          <w:rFonts w:ascii="宋体" w:hAnsi="宋体" w:cs="宋体"/>
          <w:color w:val="auto"/>
          <w:kern w:val="0"/>
          <w:highlight w:val="none"/>
        </w:rPr>
        <w:t>的</w:t>
      </w:r>
      <w:r>
        <w:rPr>
          <w:rFonts w:ascii="宋体" w:hAnsi="宋体" w:cs="宋体"/>
          <w:i/>
          <w:color w:val="auto"/>
          <w:kern w:val="0"/>
          <w:highlight w:val="none"/>
          <w:u w:val="single"/>
        </w:rPr>
        <w:t>（</w:t>
      </w:r>
      <w:r>
        <w:rPr>
          <w:rFonts w:hint="eastAsia" w:ascii="宋体" w:hAnsi="宋体" w:cs="宋体"/>
          <w:b/>
          <w:bCs/>
          <w:i/>
          <w:color w:val="auto"/>
          <w:kern w:val="0"/>
          <w:highlight w:val="none"/>
          <w:u w:val="single"/>
        </w:rPr>
        <w:t>苏州港船舶服务平台改造</w:t>
      </w:r>
      <w:r>
        <w:rPr>
          <w:rFonts w:hint="eastAsia" w:ascii="宋体" w:hAnsi="宋体" w:cs="宋体"/>
          <w:b/>
          <w:bCs/>
          <w:i/>
          <w:color w:val="auto"/>
          <w:kern w:val="0"/>
          <w:highlight w:val="none"/>
          <w:u w:val="single"/>
          <w:lang w:eastAsia="zh-CN"/>
        </w:rPr>
        <w:t>JSZC-320585-JZCG-D2025-0129</w:t>
      </w:r>
      <w:r>
        <w:rPr>
          <w:rFonts w:ascii="宋体" w:hAnsi="宋体" w:cs="宋体"/>
          <w:i/>
          <w:color w:val="auto"/>
          <w:kern w:val="0"/>
          <w:highlight w:val="none"/>
          <w:u w:val="single"/>
        </w:rPr>
        <w:t>）</w:t>
      </w:r>
      <w:r>
        <w:rPr>
          <w:rFonts w:ascii="宋体" w:hAnsi="宋体" w:cs="宋体"/>
          <w:color w:val="auto"/>
          <w:kern w:val="0"/>
          <w:highlight w:val="none"/>
        </w:rPr>
        <w:t>采购活动，服务全部由符合政策要求的中小企业承接。相关企业的具体情况如下：</w:t>
      </w:r>
    </w:p>
    <w:p w14:paraId="1EFEC4C9">
      <w:pPr>
        <w:widowControl/>
        <w:pBdr>
          <w:top w:val="none" w:color="000000" w:sz="0" w:space="0"/>
          <w:left w:val="none" w:color="000000" w:sz="0" w:space="0"/>
          <w:bottom w:val="none" w:color="000000" w:sz="0" w:space="0"/>
          <w:right w:val="none" w:color="000000" w:sz="0" w:space="0"/>
        </w:pBdr>
        <w:spacing w:line="580" w:lineRule="exact"/>
        <w:ind w:firstLine="480"/>
        <w:rPr>
          <w:rFonts w:ascii="Arial" w:hAnsi="Arial" w:eastAsia="Arial" w:cs="Times New Roman"/>
          <w:color w:val="auto"/>
          <w:kern w:val="0"/>
          <w:sz w:val="22"/>
          <w:highlight w:val="none"/>
        </w:rPr>
      </w:pPr>
      <w:r>
        <w:rPr>
          <w:rFonts w:ascii="宋体" w:hAnsi="宋体" w:cs="宋体"/>
          <w:color w:val="auto"/>
          <w:kern w:val="0"/>
          <w:highlight w:val="none"/>
        </w:rPr>
        <w:t>1、</w:t>
      </w:r>
      <w:r>
        <w:rPr>
          <w:rFonts w:ascii="宋体" w:hAnsi="宋体" w:cs="宋体"/>
          <w:i/>
          <w:color w:val="auto"/>
          <w:kern w:val="0"/>
          <w:highlight w:val="none"/>
          <w:u w:val="single"/>
        </w:rPr>
        <w:t>（标的名称）</w:t>
      </w:r>
      <w:r>
        <w:rPr>
          <w:rFonts w:ascii="宋体" w:hAnsi="宋体" w:cs="宋体"/>
          <w:color w:val="auto"/>
          <w:kern w:val="0"/>
          <w:highlight w:val="none"/>
        </w:rPr>
        <w:t>，属于</w:t>
      </w:r>
      <w:r>
        <w:rPr>
          <w:rFonts w:ascii="宋体" w:hAnsi="宋体" w:cs="宋体"/>
          <w:color w:val="auto"/>
          <w:kern w:val="0"/>
          <w:highlight w:val="none"/>
          <w:u w:val="single"/>
        </w:rPr>
        <w:t> </w:t>
      </w:r>
      <w:r>
        <w:rPr>
          <w:rFonts w:ascii="宋体" w:hAnsi="宋体" w:cs="宋体"/>
          <w:i/>
          <w:color w:val="auto"/>
          <w:kern w:val="0"/>
          <w:highlight w:val="none"/>
          <w:u w:val="single"/>
        </w:rPr>
        <w:t> （</w:t>
      </w:r>
      <w:r>
        <w:rPr>
          <w:rFonts w:hint="eastAsia" w:ascii="宋体" w:hAnsi="宋体" w:cs="宋体"/>
          <w:b/>
          <w:bCs/>
          <w:i/>
          <w:color w:val="auto"/>
          <w:kern w:val="0"/>
          <w:highlight w:val="none"/>
          <w:u w:val="single"/>
        </w:rPr>
        <w:t>软件和信息技术服务业</w:t>
      </w:r>
      <w:r>
        <w:rPr>
          <w:rFonts w:ascii="宋体" w:hAnsi="宋体" w:cs="宋体"/>
          <w:i/>
          <w:color w:val="auto"/>
          <w:kern w:val="0"/>
          <w:highlight w:val="none"/>
          <w:u w:val="single"/>
        </w:rPr>
        <w:t>）</w:t>
      </w:r>
      <w:r>
        <w:rPr>
          <w:rFonts w:hint="eastAsia" w:ascii="宋体" w:hAnsi="宋体" w:cs="宋体"/>
          <w:i/>
          <w:color w:val="auto"/>
          <w:kern w:val="0"/>
          <w:highlight w:val="none"/>
          <w:u w:val="single"/>
        </w:rPr>
        <w:t xml:space="preserve">  </w:t>
      </w:r>
      <w:r>
        <w:rPr>
          <w:rFonts w:ascii="宋体" w:hAnsi="宋体" w:cs="宋体"/>
          <w:i/>
          <w:color w:val="auto"/>
          <w:kern w:val="0"/>
          <w:highlight w:val="none"/>
        </w:rPr>
        <w:t>行业</w:t>
      </w:r>
      <w:r>
        <w:rPr>
          <w:rFonts w:ascii="宋体" w:hAnsi="宋体" w:cs="宋体"/>
          <w:color w:val="auto"/>
          <w:kern w:val="0"/>
          <w:highlight w:val="none"/>
        </w:rPr>
        <w:t>；承接企业为</w:t>
      </w:r>
      <w:r>
        <w:rPr>
          <w:rFonts w:ascii="宋体" w:hAnsi="宋体" w:cs="宋体"/>
          <w:i/>
          <w:color w:val="auto"/>
          <w:kern w:val="0"/>
          <w:highlight w:val="none"/>
          <w:u w:val="single"/>
        </w:rPr>
        <w:t>（企业名称）</w:t>
      </w:r>
      <w:r>
        <w:rPr>
          <w:rFonts w:ascii="宋体" w:hAnsi="宋体" w:cs="宋体"/>
          <w:color w:val="auto"/>
          <w:kern w:val="0"/>
          <w:highlight w:val="none"/>
        </w:rPr>
        <w:t>，从业人员人，营业收入为万元，资产总额为万元</w:t>
      </w: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rPr>
          <w:color w:val="auto"/>
          <w:highlight w:val="none"/>
        </w:rPr>
        <w:fldChar w:fldCharType="separate"/>
      </w:r>
      <w:r>
        <w:rPr>
          <w:rFonts w:eastAsia="Times New Roman" w:cs="Times New Roman"/>
          <w:color w:val="auto"/>
          <w:kern w:val="0"/>
          <w:highlight w:val="none"/>
        </w:rPr>
        <w:t>1</w:t>
      </w:r>
      <w:r>
        <w:rPr>
          <w:rFonts w:eastAsia="Times New Roman" w:cs="Times New Roman"/>
          <w:color w:val="auto"/>
          <w:kern w:val="0"/>
          <w:highlight w:val="none"/>
        </w:rPr>
        <w:fldChar w:fldCharType="end"/>
      </w:r>
      <w:r>
        <w:rPr>
          <w:rFonts w:ascii="宋体" w:hAnsi="宋体" w:cs="宋体"/>
          <w:color w:val="auto"/>
          <w:kern w:val="0"/>
          <w:highlight w:val="none"/>
        </w:rPr>
        <w:t>，属于</w:t>
      </w:r>
      <w:r>
        <w:rPr>
          <w:rFonts w:hint="eastAsia" w:ascii="宋体" w:hAnsi="宋体" w:cs="宋体"/>
          <w:color w:val="auto"/>
          <w:kern w:val="0"/>
          <w:highlight w:val="none"/>
          <w:u w:val="single"/>
        </w:rPr>
        <w:t xml:space="preserve">         </w:t>
      </w:r>
      <w:r>
        <w:rPr>
          <w:rFonts w:ascii="宋体" w:hAnsi="宋体" w:cs="宋体"/>
          <w:i/>
          <w:color w:val="auto"/>
          <w:kern w:val="0"/>
          <w:highlight w:val="none"/>
        </w:rPr>
        <w:t>（中型企业、小型企业、微型企业，三者选一填写）</w:t>
      </w:r>
      <w:r>
        <w:rPr>
          <w:rFonts w:ascii="宋体" w:hAnsi="宋体" w:cs="宋体"/>
          <w:color w:val="auto"/>
          <w:kern w:val="0"/>
          <w:highlight w:val="none"/>
        </w:rPr>
        <w:t>；</w:t>
      </w:r>
    </w:p>
    <w:p w14:paraId="6888D454">
      <w:pPr>
        <w:widowControl/>
        <w:pBdr>
          <w:top w:val="none" w:color="000000" w:sz="0" w:space="0"/>
          <w:left w:val="none" w:color="000000" w:sz="0" w:space="0"/>
          <w:bottom w:val="none" w:color="000000" w:sz="0" w:space="0"/>
          <w:right w:val="none" w:color="000000" w:sz="0" w:space="0"/>
        </w:pBdr>
        <w:spacing w:line="580" w:lineRule="exact"/>
        <w:ind w:firstLine="480"/>
        <w:rPr>
          <w:rFonts w:hint="eastAsia" w:ascii="宋体" w:hAnsi="宋体" w:cs="宋体"/>
          <w:color w:val="auto"/>
          <w:kern w:val="0"/>
          <w:highlight w:val="none"/>
        </w:rPr>
      </w:pPr>
      <w:r>
        <w:rPr>
          <w:rFonts w:ascii="宋体" w:hAnsi="宋体" w:cs="宋体"/>
          <w:color w:val="auto"/>
          <w:kern w:val="0"/>
          <w:highlight w:val="none"/>
        </w:rPr>
        <w:t>……</w:t>
      </w:r>
    </w:p>
    <w:p w14:paraId="46E4B189">
      <w:pPr>
        <w:widowControl/>
        <w:pBdr>
          <w:top w:val="none" w:color="000000" w:sz="0" w:space="0"/>
          <w:left w:val="none" w:color="000000" w:sz="0" w:space="0"/>
          <w:bottom w:val="none" w:color="000000" w:sz="0" w:space="0"/>
          <w:right w:val="none" w:color="000000" w:sz="0" w:space="0"/>
        </w:pBdr>
        <w:spacing w:line="580" w:lineRule="exact"/>
        <w:ind w:firstLine="480"/>
        <w:rPr>
          <w:rFonts w:hint="eastAsia" w:ascii="宋体" w:hAnsi="宋体" w:cs="宋体"/>
          <w:color w:val="auto"/>
          <w:kern w:val="0"/>
          <w:highlight w:val="none"/>
        </w:rPr>
      </w:pPr>
      <w:r>
        <w:rPr>
          <w:rFonts w:hint="eastAsia" w:ascii="宋体" w:hAnsi="宋体" w:cs="宋体"/>
          <w:color w:val="auto"/>
          <w:kern w:val="0"/>
          <w:highlight w:val="none"/>
        </w:rPr>
        <w:t>以上企业，不属于大企业的分支机构，不存在控股股东为大企业的情形，也不存在与大企业的负责人为同一人的情形。</w:t>
      </w:r>
    </w:p>
    <w:p w14:paraId="6935C24C">
      <w:pPr>
        <w:widowControl/>
        <w:pBdr>
          <w:top w:val="none" w:color="000000" w:sz="0" w:space="0"/>
          <w:left w:val="none" w:color="000000" w:sz="0" w:space="0"/>
          <w:bottom w:val="none" w:color="000000" w:sz="0" w:space="0"/>
          <w:right w:val="none" w:color="000000" w:sz="0" w:space="0"/>
        </w:pBdr>
        <w:spacing w:line="580" w:lineRule="exact"/>
        <w:ind w:firstLine="480"/>
        <w:rPr>
          <w:rFonts w:hint="eastAsia" w:ascii="宋体" w:hAnsi="宋体" w:cs="宋体"/>
          <w:color w:val="auto"/>
          <w:kern w:val="0"/>
          <w:highlight w:val="none"/>
        </w:rPr>
      </w:pPr>
      <w:r>
        <w:rPr>
          <w:rFonts w:hint="eastAsia" w:ascii="宋体" w:hAnsi="宋体" w:cs="宋体"/>
          <w:color w:val="auto"/>
          <w:kern w:val="0"/>
          <w:highlight w:val="none"/>
        </w:rPr>
        <w:t>本企业对上述声明内容的真实性负责。如有虚假，将依法承担相应责任。</w:t>
      </w:r>
    </w:p>
    <w:p w14:paraId="4BCAB0EB">
      <w:pPr>
        <w:widowControl/>
        <w:pBdr>
          <w:top w:val="none" w:color="000000" w:sz="0" w:space="0"/>
          <w:left w:val="none" w:color="000000" w:sz="0" w:space="0"/>
          <w:bottom w:val="none" w:color="000000" w:sz="0" w:space="0"/>
          <w:right w:val="none" w:color="000000" w:sz="0" w:space="0"/>
        </w:pBdr>
        <w:spacing w:line="580" w:lineRule="exact"/>
        <w:ind w:firstLine="480"/>
        <w:rPr>
          <w:rFonts w:hint="eastAsia" w:ascii="宋体" w:hAnsi="宋体" w:cs="宋体"/>
          <w:color w:val="auto"/>
          <w:kern w:val="0"/>
          <w:highlight w:val="none"/>
        </w:rPr>
      </w:pPr>
      <w:r>
        <w:rPr>
          <w:rFonts w:hint="eastAsia" w:ascii="宋体" w:hAnsi="宋体" w:cs="宋体"/>
          <w:color w:val="auto"/>
          <w:kern w:val="0"/>
          <w:highlight w:val="none"/>
        </w:rPr>
        <w:t>企业名称（盖章）：</w:t>
      </w:r>
    </w:p>
    <w:p w14:paraId="6BD52ACC">
      <w:pPr>
        <w:widowControl/>
        <w:pBdr>
          <w:top w:val="none" w:color="000000" w:sz="0" w:space="0"/>
          <w:left w:val="none" w:color="000000" w:sz="0" w:space="0"/>
          <w:bottom w:val="none" w:color="000000" w:sz="0" w:space="0"/>
          <w:right w:val="none" w:color="000000" w:sz="0" w:space="0"/>
        </w:pBdr>
        <w:spacing w:line="580" w:lineRule="exact"/>
        <w:ind w:firstLine="480"/>
        <w:rPr>
          <w:rFonts w:hint="eastAsia" w:ascii="宋体" w:hAnsi="宋体" w:cs="宋体"/>
          <w:color w:val="auto"/>
          <w:kern w:val="0"/>
          <w:highlight w:val="none"/>
        </w:rPr>
      </w:pPr>
      <w:r>
        <w:rPr>
          <w:rFonts w:hint="eastAsia" w:ascii="宋体" w:hAnsi="宋体" w:cs="宋体"/>
          <w:color w:val="auto"/>
          <w:kern w:val="0"/>
          <w:highlight w:val="none"/>
        </w:rPr>
        <w:t>日期：</w:t>
      </w:r>
    </w:p>
    <w:p w14:paraId="7C0C81CB">
      <w:pPr>
        <w:widowControl/>
        <w:pBdr>
          <w:top w:val="none" w:color="000000" w:sz="0" w:space="0"/>
          <w:left w:val="none" w:color="000000" w:sz="0" w:space="0"/>
          <w:bottom w:val="none" w:color="000000" w:sz="0" w:space="0"/>
          <w:right w:val="none" w:color="000000" w:sz="0" w:space="0"/>
        </w:pBdr>
        <w:spacing w:line="580" w:lineRule="exact"/>
        <w:ind w:firstLine="480"/>
        <w:rPr>
          <w:rFonts w:hint="eastAsia" w:ascii="宋体" w:hAnsi="宋体" w:cs="宋体"/>
          <w:color w:val="auto"/>
          <w:kern w:val="0"/>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ascii="宋体" w:hAnsi="宋体" w:cs="宋体"/>
          <w:color w:val="auto"/>
          <w:kern w:val="0"/>
          <w:highlight w:val="none"/>
        </w:rPr>
        <w:t>1</w:t>
      </w:r>
      <w:r>
        <w:rPr>
          <w:rFonts w:ascii="宋体" w:hAnsi="宋体" w:cs="宋体"/>
          <w:color w:val="auto"/>
          <w:kern w:val="0"/>
          <w:highlight w:val="none"/>
        </w:rPr>
        <w:fldChar w:fldCharType="end"/>
      </w:r>
      <w:r>
        <w:rPr>
          <w:rFonts w:hint="eastAsia" w:ascii="宋体" w:hAnsi="宋体" w:cs="宋体"/>
          <w:color w:val="auto"/>
          <w:kern w:val="0"/>
          <w:highlight w:val="none"/>
        </w:rPr>
        <w:t>从业人员、营业收入、资产总额填报上一年度数据，无上一年度数据的新成立企业可不填报。</w:t>
      </w:r>
    </w:p>
    <w:p w14:paraId="5DF90A80">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cs="宋体"/>
          <w:b/>
          <w:bCs/>
          <w:color w:val="auto"/>
          <w:kern w:val="0"/>
          <w:highlight w:val="none"/>
        </w:rPr>
      </w:pPr>
    </w:p>
    <w:p w14:paraId="6B0F1F39">
      <w:pPr>
        <w:spacing w:line="400" w:lineRule="exact"/>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、投标人提供的中小企业声明函必须包含本项目所有服务及其服务承接企业，并按照声明函格式填写完整、明确，否则视为未按规定提供声明函，投标无效。</w:t>
      </w:r>
    </w:p>
    <w:p w14:paraId="7A4D75DF">
      <w:pPr>
        <w:spacing w:line="400" w:lineRule="exact"/>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、中标、成交供应商享受规定的中小企业扶持政策的，《中小企业声明函》应当随中标、成交结果同时公告，接受社会监督。</w:t>
      </w:r>
    </w:p>
    <w:p w14:paraId="7719F6F7">
      <w:pPr>
        <w:widowControl/>
        <w:spacing w:after="200" w:line="276" w:lineRule="auto"/>
        <w:ind w:firstLine="562"/>
        <w:jc w:val="left"/>
        <w:rPr>
          <w:rFonts w:ascii="宋体" w:hAnsi="宋体" w:eastAsia="Arial" w:cs="Times New Roman"/>
          <w:b/>
          <w:color w:val="auto"/>
          <w:kern w:val="0"/>
          <w:sz w:val="28"/>
          <w:szCs w:val="32"/>
          <w:highlight w:val="none"/>
        </w:rPr>
      </w:pPr>
    </w:p>
    <w:bookmarkEnd w:id="8"/>
    <w:p w14:paraId="52D36D01">
      <w:pPr>
        <w:rPr>
          <w:rFonts w:ascii="宋体" w:hAnsi="宋体" w:cs="宋体"/>
          <w:b/>
          <w:color w:val="auto"/>
          <w:kern w:val="0"/>
          <w:sz w:val="28"/>
          <w:szCs w:val="21"/>
          <w:highlight w:val="none"/>
        </w:rPr>
      </w:pPr>
      <w:r>
        <w:rPr>
          <w:rFonts w:ascii="宋体" w:hAnsi="宋体" w:cs="宋体"/>
          <w:b/>
          <w:color w:val="auto"/>
          <w:kern w:val="0"/>
          <w:sz w:val="28"/>
          <w:szCs w:val="21"/>
          <w:highlight w:val="none"/>
        </w:rPr>
        <w:br w:type="page"/>
      </w:r>
    </w:p>
    <w:p w14:paraId="69DE3948">
      <w:pPr>
        <w:widowControl/>
        <w:pBdr>
          <w:top w:val="none" w:color="000000" w:sz="0" w:space="0"/>
          <w:left w:val="none" w:color="000000" w:sz="0" w:space="0"/>
          <w:bottom w:val="none" w:color="000000" w:sz="0" w:space="0"/>
          <w:right w:val="none" w:color="000000" w:sz="0" w:space="0"/>
        </w:pBdr>
        <w:spacing w:line="439" w:lineRule="atLeast"/>
        <w:ind w:firstLine="643"/>
        <w:jc w:val="left"/>
        <w:rPr>
          <w:rFonts w:hint="eastAsia" w:ascii="宋体" w:hAnsi="宋体" w:cs="宋体"/>
          <w:b/>
          <w:bCs/>
          <w:color w:val="auto"/>
          <w:kern w:val="0"/>
          <w:sz w:val="28"/>
          <w:szCs w:val="28"/>
          <w:highlight w:val="none"/>
        </w:rPr>
      </w:pPr>
      <w:r>
        <w:rPr>
          <w:rFonts w:ascii="宋体" w:hAnsi="宋体" w:cs="宋体"/>
          <w:b/>
          <w:color w:val="auto"/>
          <w:kern w:val="0"/>
          <w:sz w:val="28"/>
          <w:szCs w:val="21"/>
          <w:highlight w:val="none"/>
        </w:rPr>
        <w:t>1</w:t>
      </w:r>
      <w:r>
        <w:rPr>
          <w:rFonts w:hint="eastAsia" w:ascii="宋体" w:hAnsi="宋体" w:cs="宋体"/>
          <w:b/>
          <w:color w:val="auto"/>
          <w:kern w:val="0"/>
          <w:sz w:val="28"/>
          <w:szCs w:val="21"/>
          <w:highlight w:val="none"/>
          <w:lang w:val="en-US" w:eastAsia="zh-CN"/>
        </w:rPr>
        <w:t>3</w:t>
      </w:r>
      <w:r>
        <w:rPr>
          <w:rFonts w:ascii="宋体" w:hAnsi="宋体" w:cs="宋体"/>
          <w:b/>
          <w:color w:val="auto"/>
          <w:kern w:val="0"/>
          <w:sz w:val="28"/>
          <w:szCs w:val="21"/>
          <w:highlight w:val="none"/>
        </w:rPr>
        <w:t>、残疾人福利性单位声明函（如有）</w:t>
      </w:r>
    </w:p>
    <w:p w14:paraId="73BA77E2">
      <w:pPr>
        <w:widowControl/>
        <w:pBdr>
          <w:top w:val="none" w:color="000000" w:sz="0" w:space="0"/>
          <w:left w:val="none" w:color="000000" w:sz="0" w:space="0"/>
          <w:bottom w:val="none" w:color="000000" w:sz="0" w:space="0"/>
          <w:right w:val="none" w:color="000000" w:sz="0" w:space="0"/>
        </w:pBdr>
        <w:spacing w:line="479" w:lineRule="atLeast"/>
        <w:ind w:firstLine="643"/>
        <w:jc w:val="left"/>
        <w:rPr>
          <w:rFonts w:ascii="Arial" w:hAnsi="Arial" w:eastAsia="Arial" w:cs="Times New Roman"/>
          <w:color w:val="auto"/>
          <w:kern w:val="0"/>
          <w:sz w:val="22"/>
          <w:highlight w:val="none"/>
        </w:rPr>
      </w:pPr>
      <w:r>
        <w:rPr>
          <w:rFonts w:ascii="宋体" w:hAnsi="宋体" w:cs="宋体"/>
          <w:b/>
          <w:color w:val="auto"/>
          <w:kern w:val="0"/>
          <w:sz w:val="32"/>
          <w:highlight w:val="none"/>
        </w:rPr>
        <w:t> </w:t>
      </w:r>
    </w:p>
    <w:p w14:paraId="4815FAB9">
      <w:pPr>
        <w:widowControl/>
        <w:pBdr>
          <w:top w:val="none" w:color="000000" w:sz="0" w:space="0"/>
          <w:left w:val="none" w:color="000000" w:sz="0" w:space="0"/>
          <w:bottom w:val="none" w:color="000000" w:sz="0" w:space="0"/>
          <w:right w:val="none" w:color="000000" w:sz="0" w:space="0"/>
        </w:pBdr>
        <w:spacing w:line="479" w:lineRule="atLeast"/>
        <w:ind w:firstLine="640"/>
        <w:jc w:val="left"/>
        <w:rPr>
          <w:rFonts w:ascii="Arial" w:hAnsi="Arial" w:eastAsia="Arial" w:cs="Times New Roman"/>
          <w:color w:val="auto"/>
          <w:kern w:val="0"/>
          <w:sz w:val="22"/>
          <w:highlight w:val="none"/>
        </w:rPr>
      </w:pPr>
      <w:r>
        <w:rPr>
          <w:rFonts w:ascii="宋体" w:hAnsi="宋体" w:cs="宋体"/>
          <w:color w:val="auto"/>
          <w:kern w:val="0"/>
          <w:sz w:val="32"/>
          <w:highlight w:val="none"/>
        </w:rPr>
        <w:t>残疾人福利性单位声明函</w:t>
      </w:r>
    </w:p>
    <w:p w14:paraId="27659347">
      <w:pPr>
        <w:widowControl/>
        <w:pBdr>
          <w:top w:val="none" w:color="000000" w:sz="0" w:space="0"/>
          <w:left w:val="none" w:color="000000" w:sz="0" w:space="0"/>
          <w:bottom w:val="none" w:color="000000" w:sz="0" w:space="0"/>
          <w:right w:val="none" w:color="000000" w:sz="0" w:space="0"/>
        </w:pBdr>
        <w:spacing w:line="479" w:lineRule="atLeast"/>
        <w:ind w:firstLine="643"/>
        <w:jc w:val="left"/>
        <w:rPr>
          <w:rFonts w:ascii="Arial" w:hAnsi="Arial" w:eastAsia="Arial" w:cs="Times New Roman"/>
          <w:color w:val="auto"/>
          <w:kern w:val="0"/>
          <w:sz w:val="22"/>
          <w:highlight w:val="none"/>
        </w:rPr>
      </w:pPr>
      <w:r>
        <w:rPr>
          <w:rFonts w:ascii="宋体" w:hAnsi="宋体" w:cs="宋体"/>
          <w:b/>
          <w:color w:val="auto"/>
          <w:kern w:val="0"/>
          <w:sz w:val="32"/>
          <w:highlight w:val="none"/>
        </w:rPr>
        <w:t> </w:t>
      </w:r>
    </w:p>
    <w:p w14:paraId="581278D2">
      <w:pPr>
        <w:widowControl/>
        <w:pBdr>
          <w:top w:val="none" w:color="000000" w:sz="0" w:space="0"/>
          <w:left w:val="none" w:color="000000" w:sz="0" w:space="0"/>
          <w:bottom w:val="none" w:color="000000" w:sz="0" w:space="0"/>
          <w:right w:val="none" w:color="000000" w:sz="0" w:space="0"/>
        </w:pBdr>
        <w:spacing w:line="479" w:lineRule="atLeast"/>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4107ED7">
      <w:pPr>
        <w:widowControl/>
        <w:pBdr>
          <w:top w:val="none" w:color="000000" w:sz="0" w:space="0"/>
          <w:left w:val="none" w:color="000000" w:sz="0" w:space="0"/>
          <w:bottom w:val="none" w:color="000000" w:sz="0" w:space="0"/>
          <w:right w:val="none" w:color="000000" w:sz="0" w:space="0"/>
        </w:pBdr>
        <w:spacing w:line="479" w:lineRule="atLeast"/>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本单位对上述声明的真实性负责。如有虚假，将依法承担相应责任。</w:t>
      </w:r>
    </w:p>
    <w:p w14:paraId="38DF2EF3">
      <w:pPr>
        <w:widowControl/>
        <w:pBdr>
          <w:top w:val="none" w:color="000000" w:sz="0" w:space="0"/>
          <w:left w:val="none" w:color="000000" w:sz="0" w:space="0"/>
          <w:bottom w:val="none" w:color="000000" w:sz="0" w:space="0"/>
          <w:right w:val="none" w:color="000000" w:sz="0" w:space="0"/>
        </w:pBdr>
        <w:spacing w:line="479" w:lineRule="atLeast"/>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w:t>
      </w:r>
    </w:p>
    <w:p w14:paraId="29E9F178">
      <w:pPr>
        <w:widowControl/>
        <w:pBdr>
          <w:top w:val="none" w:color="000000" w:sz="0" w:space="0"/>
          <w:left w:val="none" w:color="000000" w:sz="0" w:space="0"/>
          <w:bottom w:val="none" w:color="000000" w:sz="0" w:space="0"/>
          <w:right w:val="none" w:color="000000" w:sz="0" w:space="0"/>
        </w:pBdr>
        <w:spacing w:line="479" w:lineRule="atLeast"/>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w:t>
      </w:r>
    </w:p>
    <w:p w14:paraId="06DCA647">
      <w:pPr>
        <w:widowControl/>
        <w:pBdr>
          <w:top w:val="none" w:color="000000" w:sz="0" w:space="0"/>
          <w:left w:val="none" w:color="000000" w:sz="0" w:space="0"/>
          <w:bottom w:val="none" w:color="000000" w:sz="0" w:space="0"/>
          <w:right w:val="none" w:color="000000" w:sz="0" w:space="0"/>
        </w:pBdr>
        <w:spacing w:line="479" w:lineRule="atLeast"/>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单位名称（盖章）：</w:t>
      </w:r>
    </w:p>
    <w:p w14:paraId="5C0EB3C8">
      <w:pPr>
        <w:widowControl/>
        <w:pBdr>
          <w:top w:val="none" w:color="000000" w:sz="0" w:space="0"/>
          <w:left w:val="none" w:color="000000" w:sz="0" w:space="0"/>
          <w:bottom w:val="none" w:color="000000" w:sz="0" w:space="0"/>
          <w:right w:val="none" w:color="000000" w:sz="0" w:space="0"/>
        </w:pBdr>
        <w:spacing w:line="479" w:lineRule="atLeast"/>
        <w:ind w:firstLine="480"/>
        <w:jc w:val="left"/>
        <w:rPr>
          <w:rFonts w:ascii="Arial" w:hAnsi="Arial" w:eastAsia="Arial" w:cs="Times New Roman"/>
          <w:color w:val="auto"/>
          <w:kern w:val="0"/>
          <w:sz w:val="22"/>
          <w:highlight w:val="none"/>
        </w:rPr>
      </w:pPr>
      <w:r>
        <w:rPr>
          <w:rFonts w:ascii="宋体" w:hAnsi="宋体" w:cs="宋体"/>
          <w:color w:val="auto"/>
          <w:kern w:val="0"/>
          <w:highlight w:val="none"/>
        </w:rPr>
        <w:t>                    日 期：</w:t>
      </w:r>
    </w:p>
    <w:p w14:paraId="6205036F">
      <w:pPr>
        <w:widowControl/>
        <w:pBdr>
          <w:top w:val="none" w:color="000000" w:sz="0" w:space="0"/>
          <w:left w:val="none" w:color="000000" w:sz="0" w:space="0"/>
          <w:bottom w:val="none" w:color="000000" w:sz="0" w:space="0"/>
          <w:right w:val="none" w:color="000000" w:sz="0" w:space="0"/>
        </w:pBdr>
        <w:spacing w:line="276" w:lineRule="auto"/>
        <w:ind w:firstLine="480"/>
        <w:jc w:val="left"/>
        <w:rPr>
          <w:rFonts w:ascii="Arial" w:hAnsi="Arial" w:eastAsia="Arial" w:cs="Times New Roman"/>
          <w:color w:val="auto"/>
          <w:kern w:val="0"/>
          <w:sz w:val="22"/>
          <w:highlight w:val="none"/>
        </w:rPr>
      </w:pPr>
      <w:r>
        <w:rPr>
          <w:rFonts w:eastAsia="Times New Roman" w:cs="Times New Roman"/>
          <w:color w:val="auto"/>
          <w:kern w:val="0"/>
          <w:highlight w:val="none"/>
        </w:rPr>
        <w:t> </w:t>
      </w:r>
    </w:p>
    <w:p w14:paraId="65676D9C">
      <w:pPr>
        <w:rPr>
          <w:rFonts w:hint="eastAsia" w:ascii="宋体" w:hAnsi="宋体" w:cs="宋体"/>
          <w:b/>
          <w:bCs/>
          <w:color w:val="auto"/>
          <w:kern w:val="0"/>
          <w:highlight w:val="none"/>
        </w:rPr>
      </w:pPr>
      <w:r>
        <w:rPr>
          <w:rFonts w:hint="eastAsia" w:ascii="宋体" w:hAnsi="宋体" w:cs="宋体"/>
          <w:b/>
          <w:bCs/>
          <w:color w:val="auto"/>
          <w:kern w:val="0"/>
          <w:highlight w:val="none"/>
        </w:rPr>
        <w:br w:type="page"/>
      </w:r>
    </w:p>
    <w:p w14:paraId="4E3586D6">
      <w:pPr>
        <w:widowControl/>
        <w:pBdr>
          <w:top w:val="none" w:color="000000" w:sz="0" w:space="0"/>
          <w:left w:val="none" w:color="000000" w:sz="0" w:space="0"/>
          <w:bottom w:val="none" w:color="000000" w:sz="0" w:space="0"/>
          <w:right w:val="none" w:color="000000" w:sz="0" w:space="0"/>
        </w:pBdr>
        <w:spacing w:line="439" w:lineRule="atLeast"/>
        <w:ind w:firstLine="643"/>
        <w:jc w:val="left"/>
        <w:rPr>
          <w:rFonts w:ascii="宋体" w:hAnsi="宋体" w:eastAsia="宋体" w:cs="宋体"/>
          <w:b/>
          <w:color w:val="auto"/>
          <w:kern w:val="0"/>
          <w:sz w:val="28"/>
          <w:szCs w:val="21"/>
          <w:highlight w:val="none"/>
        </w:rPr>
      </w:pPr>
      <w:r>
        <w:rPr>
          <w:rFonts w:hint="eastAsia" w:ascii="宋体" w:hAnsi="宋体" w:eastAsia="宋体" w:cs="宋体"/>
          <w:b/>
          <w:color w:val="auto"/>
          <w:kern w:val="0"/>
          <w:sz w:val="28"/>
          <w:szCs w:val="21"/>
          <w:highlight w:val="none"/>
        </w:rPr>
        <w:t>14、</w:t>
      </w:r>
      <w:r>
        <w:rPr>
          <w:rFonts w:ascii="宋体" w:hAnsi="宋体" w:eastAsia="宋体" w:cs="宋体"/>
          <w:b/>
          <w:color w:val="auto"/>
          <w:kern w:val="0"/>
          <w:sz w:val="28"/>
          <w:szCs w:val="21"/>
          <w:highlight w:val="none"/>
        </w:rPr>
        <w:t>监狱企业证明文件（如有）</w:t>
      </w:r>
    </w:p>
    <w:p w14:paraId="5337CF03">
      <w:pPr>
        <w:pStyle w:val="20"/>
        <w:tabs>
          <w:tab w:val="right" w:leader="dot" w:pos="9450"/>
        </w:tabs>
        <w:spacing w:line="360" w:lineRule="auto"/>
        <w:ind w:left="525"/>
        <w:jc w:val="center"/>
        <w:rPr>
          <w:color w:val="auto"/>
          <w:highlight w:val="none"/>
        </w:rPr>
      </w:pPr>
    </w:p>
    <w:p w14:paraId="53827ABC">
      <w:pPr>
        <w:pBdr>
          <w:top w:val="none" w:color="000000" w:sz="0" w:space="0"/>
          <w:left w:val="none" w:color="000000" w:sz="0" w:space="0"/>
          <w:bottom w:val="none" w:color="000000" w:sz="0" w:space="0"/>
          <w:right w:val="none" w:color="000000" w:sz="0" w:space="0"/>
        </w:pBdr>
        <w:spacing w:line="360" w:lineRule="auto"/>
        <w:ind w:firstLine="2560"/>
        <w:rPr>
          <w:rFonts w:ascii="宋体" w:hAnsi="宋体" w:cs="宋体"/>
          <w:color w:val="auto"/>
          <w:sz w:val="24"/>
          <w:szCs w:val="24"/>
          <w:highlight w:val="none"/>
        </w:rPr>
      </w:pPr>
    </w:p>
    <w:p w14:paraId="5228924C">
      <w:pPr>
        <w:pBdr>
          <w:top w:val="none" w:color="000000" w:sz="0" w:space="0"/>
          <w:left w:val="none" w:color="000000" w:sz="0" w:space="0"/>
          <w:bottom w:val="none" w:color="000000" w:sz="0" w:space="0"/>
          <w:right w:val="none" w:color="000000" w:sz="0" w:space="0"/>
        </w:pBdr>
        <w:spacing w:line="360" w:lineRule="auto"/>
        <w:ind w:firstLine="2560"/>
        <w:jc w:val="center"/>
        <w:rPr>
          <w:rFonts w:ascii="宋体" w:hAnsi="宋体" w:cs="宋体"/>
          <w:color w:val="auto"/>
          <w:sz w:val="24"/>
          <w:szCs w:val="24"/>
          <w:highlight w:val="none"/>
        </w:rPr>
      </w:pPr>
      <w:r>
        <w:rPr>
          <w:rFonts w:hint="eastAsia" w:ascii="宋体" w:hAnsi="宋体" w:cs="宋体"/>
          <w:color w:val="auto"/>
          <w:sz w:val="24"/>
          <w:szCs w:val="24"/>
          <w:highlight w:val="none"/>
        </w:rPr>
        <w:t>监狱企业证明文件</w:t>
      </w:r>
    </w:p>
    <w:p w14:paraId="65E38A7C">
      <w:pPr>
        <w:spacing w:line="360" w:lineRule="auto"/>
        <w:rPr>
          <w:b/>
          <w:bCs/>
          <w:color w:val="auto"/>
          <w:sz w:val="24"/>
          <w:szCs w:val="24"/>
          <w:highlight w:val="none"/>
        </w:rPr>
      </w:pPr>
    </w:p>
    <w:p w14:paraId="30CF912B">
      <w:pPr>
        <w:spacing w:line="360" w:lineRule="auto"/>
        <w:ind w:firstLine="506" w:firstLineChars="200"/>
        <w:rPr>
          <w:rFonts w:ascii="宋体" w:hAnsi="宋体"/>
          <w:b/>
          <w:color w:val="auto"/>
          <w:spacing w:val="6"/>
          <w:sz w:val="24"/>
          <w:szCs w:val="24"/>
          <w:highlight w:val="none"/>
        </w:rPr>
      </w:pPr>
      <w:r>
        <w:rPr>
          <w:rFonts w:hint="eastAsia" w:ascii="宋体" w:hAnsi="宋体"/>
          <w:b/>
          <w:color w:val="auto"/>
          <w:spacing w:val="6"/>
          <w:sz w:val="24"/>
          <w:szCs w:val="24"/>
          <w:highlight w:val="none"/>
        </w:rPr>
        <w:t>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40A4C8D3">
      <w:pPr>
        <w:pStyle w:val="2"/>
        <w:rPr>
          <w:rFonts w:hint="eastAsia"/>
          <w:color w:val="auto"/>
          <w:highlight w:val="none"/>
        </w:rPr>
      </w:pPr>
    </w:p>
    <w:p w14:paraId="6E767506">
      <w:pPr>
        <w:widowControl/>
        <w:pBdr>
          <w:top w:val="none" w:color="000000" w:sz="0" w:space="0"/>
          <w:left w:val="none" w:color="000000" w:sz="0" w:space="0"/>
          <w:bottom w:val="none" w:color="000000" w:sz="0" w:space="0"/>
          <w:right w:val="none" w:color="000000" w:sz="0" w:space="0"/>
        </w:pBdr>
        <w:spacing w:line="479" w:lineRule="atLeast"/>
        <w:ind w:firstLine="482"/>
        <w:jc w:val="left"/>
        <w:rPr>
          <w:rFonts w:hint="eastAsia" w:ascii="宋体" w:hAnsi="宋体" w:cs="宋体"/>
          <w:b/>
          <w:bCs/>
          <w:color w:val="auto"/>
          <w:kern w:val="0"/>
          <w:highlight w:val="none"/>
        </w:rPr>
      </w:pPr>
    </w:p>
    <w:p w14:paraId="3E9ACCC8">
      <w:pPr>
        <w:widowControl/>
        <w:pBdr>
          <w:top w:val="none" w:color="000000" w:sz="0" w:space="0"/>
          <w:left w:val="none" w:color="000000" w:sz="0" w:space="0"/>
          <w:bottom w:val="none" w:color="000000" w:sz="0" w:space="0"/>
          <w:right w:val="none" w:color="000000" w:sz="0" w:space="0"/>
        </w:pBdr>
        <w:spacing w:line="479" w:lineRule="atLeast"/>
        <w:ind w:firstLine="0" w:firstLineChars="0"/>
        <w:jc w:val="center"/>
        <w:rPr>
          <w:rFonts w:hint="eastAsia" w:ascii="宋体" w:hAnsi="宋体" w:cs="宋体"/>
          <w:color w:val="auto"/>
          <w:kern w:val="0"/>
          <w:highlight w:val="none"/>
        </w:rPr>
      </w:pPr>
      <w:r>
        <w:rPr>
          <w:rFonts w:hint="eastAsia" w:ascii="宋体" w:hAnsi="宋体" w:cs="宋体"/>
          <w:color w:val="auto"/>
          <w:kern w:val="0"/>
          <w:highlight w:val="none"/>
        </w:rPr>
        <w:t>（全文完）</w:t>
      </w:r>
    </w:p>
    <w:p w14:paraId="208D5160">
      <w:pPr>
        <w:widowControl/>
        <w:pBdr>
          <w:top w:val="none" w:color="000000" w:sz="0" w:space="0"/>
          <w:left w:val="none" w:color="000000" w:sz="0" w:space="0"/>
          <w:bottom w:val="none" w:color="000000" w:sz="0" w:space="0"/>
          <w:right w:val="none" w:color="000000" w:sz="0" w:space="0"/>
        </w:pBdr>
        <w:spacing w:line="479" w:lineRule="atLeast"/>
        <w:ind w:firstLine="482"/>
        <w:jc w:val="left"/>
        <w:rPr>
          <w:rFonts w:hint="eastAsia" w:ascii="宋体" w:hAnsi="宋体" w:cs="宋体"/>
          <w:b/>
          <w:bCs/>
          <w:color w:val="auto"/>
          <w:kern w:val="0"/>
          <w:highlight w:val="none"/>
        </w:rPr>
      </w:pPr>
    </w:p>
    <w:p w14:paraId="15783EE3">
      <w:pPr>
        <w:widowControl/>
        <w:pBdr>
          <w:top w:val="none" w:color="000000" w:sz="0" w:space="0"/>
          <w:left w:val="none" w:color="000000" w:sz="0" w:space="0"/>
          <w:bottom w:val="none" w:color="000000" w:sz="0" w:space="0"/>
          <w:right w:val="none" w:color="000000" w:sz="0" w:space="0"/>
        </w:pBdr>
        <w:spacing w:line="479" w:lineRule="atLeast"/>
        <w:ind w:firstLine="482"/>
        <w:jc w:val="left"/>
        <w:rPr>
          <w:rFonts w:hint="eastAsia" w:ascii="宋体" w:hAnsi="宋体" w:cs="宋体"/>
          <w:b/>
          <w:bCs/>
          <w:color w:val="auto"/>
          <w:kern w:val="0"/>
          <w:highlight w:val="none"/>
        </w:rPr>
      </w:pPr>
    </w:p>
    <w:p w14:paraId="59F63B04">
      <w:pPr>
        <w:widowControl/>
        <w:pBdr>
          <w:top w:val="none" w:color="000000" w:sz="0" w:space="0"/>
          <w:left w:val="none" w:color="000000" w:sz="0" w:space="0"/>
          <w:bottom w:val="none" w:color="000000" w:sz="0" w:space="0"/>
          <w:right w:val="none" w:color="000000" w:sz="0" w:space="0"/>
        </w:pBdr>
        <w:spacing w:line="479" w:lineRule="atLeast"/>
        <w:ind w:firstLine="482"/>
        <w:jc w:val="left"/>
        <w:rPr>
          <w:rFonts w:hint="eastAsia" w:ascii="宋体" w:hAnsi="宋体" w:cs="宋体"/>
          <w:b/>
          <w:bCs/>
          <w:color w:val="auto"/>
          <w:kern w:val="0"/>
          <w:highlight w:val="none"/>
        </w:rPr>
      </w:pPr>
    </w:p>
    <w:sectPr>
      <w:headerReference r:id="rId5" w:type="default"/>
      <w:footerReference r:id="rId6" w:type="default"/>
      <w:pgSz w:w="11906" w:h="16838"/>
      <w:pgMar w:top="1440" w:right="1800" w:bottom="1440" w:left="1800"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Futura Lt">
    <w:altName w:val="Segoe Print"/>
    <w:panose1 w:val="00000000000000000000"/>
    <w:charset w:val="00"/>
    <w:family w:val="auto"/>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8CAD7">
    <w:pPr>
      <w:pStyle w:val="1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EF3F4">
    <w:pPr>
      <w:pStyle w:val="18"/>
      <w:pBdr>
        <w:bottom w:val="none" w:color="auto" w:sz="0" w:space="1"/>
      </w:pBdr>
      <w:ind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4F5343"/>
    <w:multiLevelType w:val="singleLevel"/>
    <w:tmpl w:val="824F5343"/>
    <w:lvl w:ilvl="0" w:tentative="0">
      <w:start w:val="1"/>
      <w:numFmt w:val="chineseCounting"/>
      <w:suff w:val="nothing"/>
      <w:lvlText w:val="（%1）"/>
      <w:lvlJc w:val="left"/>
      <w:pPr>
        <w:ind w:left="0" w:firstLine="0"/>
      </w:pPr>
      <w:rPr>
        <w:rFonts w:hint="eastAsia"/>
      </w:rPr>
    </w:lvl>
  </w:abstractNum>
  <w:abstractNum w:abstractNumId="1">
    <w:nsid w:val="9603F7BD"/>
    <w:multiLevelType w:val="singleLevel"/>
    <w:tmpl w:val="9603F7BD"/>
    <w:lvl w:ilvl="0" w:tentative="0">
      <w:start w:val="1"/>
      <w:numFmt w:val="decimal"/>
      <w:lvlText w:val="%1."/>
      <w:lvlJc w:val="left"/>
      <w:pPr>
        <w:tabs>
          <w:tab w:val="left" w:pos="420"/>
        </w:tabs>
        <w:ind w:left="845" w:hanging="425"/>
      </w:pPr>
      <w:rPr>
        <w:rFonts w:hint="default"/>
      </w:rPr>
    </w:lvl>
  </w:abstractNum>
  <w:abstractNum w:abstractNumId="2">
    <w:nsid w:val="A2BA556F"/>
    <w:multiLevelType w:val="singleLevel"/>
    <w:tmpl w:val="A2BA556F"/>
    <w:lvl w:ilvl="0" w:tentative="0">
      <w:start w:val="1"/>
      <w:numFmt w:val="decimal"/>
      <w:suff w:val="nothing"/>
      <w:lvlText w:val="%1．"/>
      <w:lvlJc w:val="left"/>
      <w:pPr>
        <w:ind w:left="40" w:firstLine="400"/>
      </w:pPr>
      <w:rPr>
        <w:rFonts w:hint="default" w:ascii="宋体" w:hAnsi="宋体" w:eastAsia="宋体" w:cs="宋体"/>
      </w:rPr>
    </w:lvl>
  </w:abstractNum>
  <w:abstractNum w:abstractNumId="3">
    <w:nsid w:val="A5A58E8A"/>
    <w:multiLevelType w:val="singleLevel"/>
    <w:tmpl w:val="A5A58E8A"/>
    <w:lvl w:ilvl="0" w:tentative="0">
      <w:start w:val="3"/>
      <w:numFmt w:val="chineseCounting"/>
      <w:suff w:val="nothing"/>
      <w:lvlText w:val="（%1）"/>
      <w:lvlJc w:val="left"/>
      <w:rPr>
        <w:rFonts w:hint="eastAsia"/>
      </w:rPr>
    </w:lvl>
  </w:abstractNum>
  <w:abstractNum w:abstractNumId="4">
    <w:nsid w:val="B0AE6561"/>
    <w:multiLevelType w:val="singleLevel"/>
    <w:tmpl w:val="B0AE6561"/>
    <w:lvl w:ilvl="0" w:tentative="0">
      <w:start w:val="5"/>
      <w:numFmt w:val="chineseCounting"/>
      <w:suff w:val="space"/>
      <w:lvlText w:val="第%1部分"/>
      <w:lvlJc w:val="left"/>
      <w:rPr>
        <w:rFonts w:hint="eastAsia"/>
      </w:rPr>
    </w:lvl>
  </w:abstractNum>
  <w:abstractNum w:abstractNumId="5">
    <w:nsid w:val="BBC2D50C"/>
    <w:multiLevelType w:val="singleLevel"/>
    <w:tmpl w:val="BBC2D50C"/>
    <w:lvl w:ilvl="0" w:tentative="0">
      <w:start w:val="1"/>
      <w:numFmt w:val="decimal"/>
      <w:suff w:val="nothing"/>
      <w:lvlText w:val="%1．"/>
      <w:lvlJc w:val="left"/>
      <w:pPr>
        <w:ind w:left="40" w:firstLine="400"/>
      </w:pPr>
      <w:rPr>
        <w:rFonts w:hint="default" w:ascii="宋体" w:hAnsi="宋体" w:eastAsia="宋体" w:cs="宋体"/>
      </w:rPr>
    </w:lvl>
  </w:abstractNum>
  <w:abstractNum w:abstractNumId="6">
    <w:nsid w:val="C7DCDDC3"/>
    <w:multiLevelType w:val="singleLevel"/>
    <w:tmpl w:val="C7DCDDC3"/>
    <w:lvl w:ilvl="0" w:tentative="0">
      <w:start w:val="1"/>
      <w:numFmt w:val="decimal"/>
      <w:suff w:val="nothing"/>
      <w:lvlText w:val="%1．"/>
      <w:lvlJc w:val="left"/>
      <w:pPr>
        <w:ind w:left="0" w:firstLine="400"/>
      </w:pPr>
      <w:rPr>
        <w:rFonts w:hint="default"/>
        <w:highlight w:val="none"/>
      </w:rPr>
    </w:lvl>
  </w:abstractNum>
  <w:abstractNum w:abstractNumId="7">
    <w:nsid w:val="CF092B84"/>
    <w:multiLevelType w:val="multilevel"/>
    <w:tmpl w:val="CF092B84"/>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8">
    <w:nsid w:val="DB99FE57"/>
    <w:multiLevelType w:val="singleLevel"/>
    <w:tmpl w:val="DB99FE57"/>
    <w:lvl w:ilvl="0" w:tentative="0">
      <w:start w:val="1"/>
      <w:numFmt w:val="decimal"/>
      <w:suff w:val="space"/>
      <w:lvlText w:val="(%1)"/>
      <w:lvlJc w:val="left"/>
      <w:pPr>
        <w:ind w:left="0" w:firstLine="482"/>
      </w:pPr>
      <w:rPr>
        <w:rFonts w:hint="default"/>
      </w:rPr>
    </w:lvl>
  </w:abstractNum>
  <w:abstractNum w:abstractNumId="9">
    <w:nsid w:val="F40D035F"/>
    <w:multiLevelType w:val="singleLevel"/>
    <w:tmpl w:val="F40D035F"/>
    <w:lvl w:ilvl="0" w:tentative="0">
      <w:start w:val="1"/>
      <w:numFmt w:val="decimal"/>
      <w:suff w:val="space"/>
      <w:lvlText w:val="(%1)"/>
      <w:lvlJc w:val="left"/>
      <w:pPr>
        <w:ind w:left="0" w:firstLine="482"/>
      </w:pPr>
      <w:rPr>
        <w:rFonts w:hint="default" w:ascii="宋体" w:hAnsi="宋体" w:eastAsia="宋体" w:cs="宋体"/>
      </w:rPr>
    </w:lvl>
  </w:abstractNum>
  <w:abstractNum w:abstractNumId="10">
    <w:nsid w:val="FF8057F9"/>
    <w:multiLevelType w:val="singleLevel"/>
    <w:tmpl w:val="FF8057F9"/>
    <w:lvl w:ilvl="0" w:tentative="0">
      <w:start w:val="1"/>
      <w:numFmt w:val="decimal"/>
      <w:suff w:val="space"/>
      <w:lvlText w:val="(%1)"/>
      <w:lvlJc w:val="left"/>
      <w:pPr>
        <w:ind w:left="0" w:firstLine="454"/>
      </w:pPr>
      <w:rPr>
        <w:rFonts w:hint="default"/>
      </w:rPr>
    </w:lvl>
  </w:abstractNum>
  <w:abstractNum w:abstractNumId="11">
    <w:nsid w:val="043B8A1D"/>
    <w:multiLevelType w:val="singleLevel"/>
    <w:tmpl w:val="043B8A1D"/>
    <w:lvl w:ilvl="0" w:tentative="0">
      <w:start w:val="1"/>
      <w:numFmt w:val="decimal"/>
      <w:suff w:val="nothing"/>
      <w:lvlText w:val="%1．"/>
      <w:lvlJc w:val="left"/>
      <w:pPr>
        <w:ind w:left="40" w:firstLine="400"/>
      </w:pPr>
      <w:rPr>
        <w:rFonts w:hint="default" w:ascii="宋体" w:hAnsi="宋体" w:eastAsia="宋体" w:cs="宋体"/>
      </w:rPr>
    </w:lvl>
  </w:abstractNum>
  <w:abstractNum w:abstractNumId="12">
    <w:nsid w:val="0F7230A1"/>
    <w:multiLevelType w:val="singleLevel"/>
    <w:tmpl w:val="0F7230A1"/>
    <w:lvl w:ilvl="0" w:tentative="0">
      <w:start w:val="1"/>
      <w:numFmt w:val="decimal"/>
      <w:suff w:val="nothing"/>
      <w:lvlText w:val="%1．"/>
      <w:lvlJc w:val="left"/>
      <w:pPr>
        <w:ind w:left="0" w:firstLine="400"/>
      </w:pPr>
      <w:rPr>
        <w:rFonts w:hint="default"/>
      </w:rPr>
    </w:lvl>
  </w:abstractNum>
  <w:abstractNum w:abstractNumId="13">
    <w:nsid w:val="22F7572B"/>
    <w:multiLevelType w:val="singleLevel"/>
    <w:tmpl w:val="22F7572B"/>
    <w:lvl w:ilvl="0" w:tentative="0">
      <w:start w:val="1"/>
      <w:numFmt w:val="chineseCounting"/>
      <w:suff w:val="nothing"/>
      <w:lvlText w:val="（%1）"/>
      <w:lvlJc w:val="left"/>
      <w:pPr>
        <w:ind w:left="0" w:firstLine="0"/>
      </w:pPr>
      <w:rPr>
        <w:rFonts w:hint="eastAsia"/>
      </w:rPr>
    </w:lvl>
  </w:abstractNum>
  <w:abstractNum w:abstractNumId="14">
    <w:nsid w:val="3DE11C60"/>
    <w:multiLevelType w:val="singleLevel"/>
    <w:tmpl w:val="3DE11C60"/>
    <w:lvl w:ilvl="0" w:tentative="0">
      <w:start w:val="1"/>
      <w:numFmt w:val="decimal"/>
      <w:suff w:val="space"/>
      <w:lvlText w:val="(%1)"/>
      <w:lvlJc w:val="left"/>
      <w:pPr>
        <w:ind w:left="0" w:firstLine="454"/>
      </w:pPr>
      <w:rPr>
        <w:rFonts w:hint="default"/>
      </w:rPr>
    </w:lvl>
  </w:abstractNum>
  <w:abstractNum w:abstractNumId="15">
    <w:nsid w:val="41C24A23"/>
    <w:multiLevelType w:val="singleLevel"/>
    <w:tmpl w:val="41C24A23"/>
    <w:lvl w:ilvl="0" w:tentative="0">
      <w:start w:val="1"/>
      <w:numFmt w:val="decimal"/>
      <w:suff w:val="nothing"/>
      <w:lvlText w:val="%1．"/>
      <w:lvlJc w:val="left"/>
      <w:pPr>
        <w:ind w:left="0" w:firstLine="400"/>
      </w:pPr>
      <w:rPr>
        <w:rFonts w:hint="default" w:ascii="宋体" w:hAnsi="宋体" w:eastAsia="宋体" w:cs="宋体"/>
      </w:rPr>
    </w:lvl>
  </w:abstractNum>
  <w:abstractNum w:abstractNumId="16">
    <w:nsid w:val="4CDB3077"/>
    <w:multiLevelType w:val="singleLevel"/>
    <w:tmpl w:val="4CDB3077"/>
    <w:lvl w:ilvl="0" w:tentative="0">
      <w:start w:val="1"/>
      <w:numFmt w:val="decimal"/>
      <w:suff w:val="space"/>
      <w:lvlText w:val="(%1)"/>
      <w:lvlJc w:val="left"/>
      <w:pPr>
        <w:ind w:left="0" w:firstLine="454"/>
      </w:pPr>
      <w:rPr>
        <w:rFonts w:hint="default"/>
      </w:rPr>
    </w:lvl>
  </w:abstractNum>
  <w:abstractNum w:abstractNumId="17">
    <w:nsid w:val="5E29C949"/>
    <w:multiLevelType w:val="singleLevel"/>
    <w:tmpl w:val="5E29C949"/>
    <w:lvl w:ilvl="0" w:tentative="0">
      <w:start w:val="1"/>
      <w:numFmt w:val="chineseCounting"/>
      <w:suff w:val="space"/>
      <w:lvlText w:val="第%1部分"/>
      <w:lvlJc w:val="left"/>
      <w:rPr>
        <w:rFonts w:hint="eastAsia"/>
      </w:rPr>
    </w:lvl>
  </w:abstractNum>
  <w:abstractNum w:abstractNumId="18">
    <w:nsid w:val="63423555"/>
    <w:multiLevelType w:val="singleLevel"/>
    <w:tmpl w:val="63423555"/>
    <w:lvl w:ilvl="0" w:tentative="0">
      <w:start w:val="1"/>
      <w:numFmt w:val="decimal"/>
      <w:suff w:val="space"/>
      <w:lvlText w:val="(%1)"/>
      <w:lvlJc w:val="left"/>
      <w:pPr>
        <w:ind w:left="0" w:firstLine="482"/>
      </w:pPr>
      <w:rPr>
        <w:rFonts w:hint="default" w:ascii="宋体" w:hAnsi="宋体" w:eastAsia="宋体" w:cs="宋体"/>
      </w:rPr>
    </w:lvl>
  </w:abstractNum>
  <w:abstractNum w:abstractNumId="19">
    <w:nsid w:val="71838CCD"/>
    <w:multiLevelType w:val="singleLevel"/>
    <w:tmpl w:val="71838CCD"/>
    <w:lvl w:ilvl="0" w:tentative="0">
      <w:start w:val="1"/>
      <w:numFmt w:val="decimal"/>
      <w:suff w:val="space"/>
      <w:lvlText w:val="(%1)"/>
      <w:lvlJc w:val="left"/>
      <w:pPr>
        <w:ind w:left="0" w:firstLine="482"/>
      </w:pPr>
      <w:rPr>
        <w:rFonts w:hint="default" w:ascii="宋体" w:hAnsi="宋体" w:eastAsia="宋体" w:cs="宋体"/>
      </w:rPr>
    </w:lvl>
  </w:abstractNum>
  <w:abstractNum w:abstractNumId="20">
    <w:nsid w:val="75AB7DA3"/>
    <w:multiLevelType w:val="multilevel"/>
    <w:tmpl w:val="75AB7DA3"/>
    <w:lvl w:ilvl="0" w:tentative="0">
      <w:start w:val="1"/>
      <w:numFmt w:val="decimal"/>
      <w:pStyle w:val="3"/>
      <w:suff w:val="space"/>
      <w:lvlText w:val="%1."/>
      <w:lvlJc w:val="left"/>
      <w:pPr>
        <w:ind w:left="0" w:firstLine="0"/>
      </w:pPr>
      <w:rPr>
        <w:rFonts w:hint="default" w:ascii="Times New Roman" w:hAnsi="Times New Roman"/>
      </w:rPr>
    </w:lvl>
    <w:lvl w:ilvl="1" w:tentative="0">
      <w:start w:val="1"/>
      <w:numFmt w:val="decimal"/>
      <w:pStyle w:val="4"/>
      <w:suff w:val="space"/>
      <w:lvlText w:val="%1.%2"/>
      <w:lvlJc w:val="left"/>
      <w:pPr>
        <w:ind w:left="0" w:firstLine="113"/>
      </w:pPr>
      <w:rPr>
        <w:rFonts w:hint="default"/>
        <w:b/>
      </w:rPr>
    </w:lvl>
    <w:lvl w:ilvl="2" w:tentative="0">
      <w:start w:val="1"/>
      <w:numFmt w:val="decimal"/>
      <w:pStyle w:val="5"/>
      <w:suff w:val="space"/>
      <w:lvlText w:val="%1.%2.%3"/>
      <w:lvlJc w:val="left"/>
      <w:pPr>
        <w:ind w:left="3800" w:firstLine="170"/>
      </w:pPr>
      <w:rPr>
        <w:rFonts w:hint="eastAsia"/>
        <w:color w:val="auto"/>
      </w:rPr>
    </w:lvl>
    <w:lvl w:ilvl="3" w:tentative="0">
      <w:start w:val="1"/>
      <w:numFmt w:val="decimal"/>
      <w:pStyle w:val="6"/>
      <w:suff w:val="space"/>
      <w:lvlText w:val="%1.%2.%3.%4"/>
      <w:lvlJc w:val="left"/>
      <w:pPr>
        <w:ind w:left="0" w:firstLine="227"/>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1">
    <w:nsid w:val="7F093E57"/>
    <w:multiLevelType w:val="multilevel"/>
    <w:tmpl w:val="7F093E57"/>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0"/>
  </w:num>
  <w:num w:numId="2">
    <w:abstractNumId w:val="17"/>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
  </w:num>
  <w:num w:numId="6">
    <w:abstractNumId w:val="1"/>
  </w:num>
  <w:num w:numId="7">
    <w:abstractNumId w:val="8"/>
  </w:num>
  <w:num w:numId="8">
    <w:abstractNumId w:val="9"/>
  </w:num>
  <w:num w:numId="9">
    <w:abstractNumId w:val="10"/>
  </w:num>
  <w:num w:numId="10">
    <w:abstractNumId w:val="14"/>
  </w:num>
  <w:num w:numId="11">
    <w:abstractNumId w:val="16"/>
  </w:num>
  <w:num w:numId="12">
    <w:abstractNumId w:val="19"/>
  </w:num>
  <w:num w:numId="13">
    <w:abstractNumId w:val="18"/>
  </w:num>
  <w:num w:numId="14">
    <w:abstractNumId w:val="0"/>
  </w:num>
  <w:num w:numId="15">
    <w:abstractNumId w:val="6"/>
  </w:num>
  <w:num w:numId="16">
    <w:abstractNumId w:val="13"/>
  </w:num>
  <w:num w:numId="17">
    <w:abstractNumId w:val="5"/>
  </w:num>
  <w:num w:numId="18">
    <w:abstractNumId w:val="11"/>
  </w:num>
  <w:num w:numId="19">
    <w:abstractNumId w:val="2"/>
  </w:num>
  <w:num w:numId="20">
    <w:abstractNumId w:val="12"/>
  </w:num>
  <w:num w:numId="21">
    <w:abstractNumId w:val="4"/>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0NmZiMmQ5MjgwY2MzMjIxZGEwODFiYTk5YTg0NGIifQ=="/>
  </w:docVars>
  <w:rsids>
    <w:rsidRoot w:val="00613AD3"/>
    <w:rsid w:val="000009BE"/>
    <w:rsid w:val="000017D3"/>
    <w:rsid w:val="00004FB6"/>
    <w:rsid w:val="0000505C"/>
    <w:rsid w:val="00005795"/>
    <w:rsid w:val="0000580E"/>
    <w:rsid w:val="000076D0"/>
    <w:rsid w:val="00007BD1"/>
    <w:rsid w:val="00011435"/>
    <w:rsid w:val="00011641"/>
    <w:rsid w:val="0001171B"/>
    <w:rsid w:val="00011B44"/>
    <w:rsid w:val="00011D39"/>
    <w:rsid w:val="000124CC"/>
    <w:rsid w:val="00013066"/>
    <w:rsid w:val="00013A43"/>
    <w:rsid w:val="00016701"/>
    <w:rsid w:val="0001707C"/>
    <w:rsid w:val="000214B7"/>
    <w:rsid w:val="000255BB"/>
    <w:rsid w:val="000270C9"/>
    <w:rsid w:val="00027B08"/>
    <w:rsid w:val="00027BD4"/>
    <w:rsid w:val="00031D57"/>
    <w:rsid w:val="00033559"/>
    <w:rsid w:val="00033AD6"/>
    <w:rsid w:val="00035A15"/>
    <w:rsid w:val="00035E37"/>
    <w:rsid w:val="00036417"/>
    <w:rsid w:val="0003715C"/>
    <w:rsid w:val="000377F6"/>
    <w:rsid w:val="00043693"/>
    <w:rsid w:val="00043CF6"/>
    <w:rsid w:val="00044068"/>
    <w:rsid w:val="0004447B"/>
    <w:rsid w:val="00044926"/>
    <w:rsid w:val="00050D4B"/>
    <w:rsid w:val="00052BC7"/>
    <w:rsid w:val="00052FD9"/>
    <w:rsid w:val="00053F1A"/>
    <w:rsid w:val="000545A2"/>
    <w:rsid w:val="000558C4"/>
    <w:rsid w:val="000603A3"/>
    <w:rsid w:val="000606FB"/>
    <w:rsid w:val="000607BC"/>
    <w:rsid w:val="00061B7C"/>
    <w:rsid w:val="00061F5A"/>
    <w:rsid w:val="000625CA"/>
    <w:rsid w:val="00063DF0"/>
    <w:rsid w:val="00063F25"/>
    <w:rsid w:val="00064C4F"/>
    <w:rsid w:val="00066890"/>
    <w:rsid w:val="00066937"/>
    <w:rsid w:val="00066E36"/>
    <w:rsid w:val="00070AAF"/>
    <w:rsid w:val="00072CFC"/>
    <w:rsid w:val="000733A7"/>
    <w:rsid w:val="000760B9"/>
    <w:rsid w:val="00084AFE"/>
    <w:rsid w:val="00085271"/>
    <w:rsid w:val="0009026F"/>
    <w:rsid w:val="000902EF"/>
    <w:rsid w:val="00090B0F"/>
    <w:rsid w:val="00091C01"/>
    <w:rsid w:val="00093ED2"/>
    <w:rsid w:val="0009400F"/>
    <w:rsid w:val="000958A4"/>
    <w:rsid w:val="000963F1"/>
    <w:rsid w:val="000973E5"/>
    <w:rsid w:val="00097774"/>
    <w:rsid w:val="00097C36"/>
    <w:rsid w:val="000A0E1C"/>
    <w:rsid w:val="000A0FAB"/>
    <w:rsid w:val="000A2646"/>
    <w:rsid w:val="000A2F0A"/>
    <w:rsid w:val="000A4627"/>
    <w:rsid w:val="000A4CAC"/>
    <w:rsid w:val="000A5DDE"/>
    <w:rsid w:val="000B1A3F"/>
    <w:rsid w:val="000B3FB3"/>
    <w:rsid w:val="000B6523"/>
    <w:rsid w:val="000B6F5D"/>
    <w:rsid w:val="000B7EDB"/>
    <w:rsid w:val="000C409D"/>
    <w:rsid w:val="000C4B7F"/>
    <w:rsid w:val="000C66F2"/>
    <w:rsid w:val="000D019D"/>
    <w:rsid w:val="000D07DB"/>
    <w:rsid w:val="000D0C6B"/>
    <w:rsid w:val="000D4BB2"/>
    <w:rsid w:val="000E03C9"/>
    <w:rsid w:val="000E05E2"/>
    <w:rsid w:val="000E1BD3"/>
    <w:rsid w:val="000E38E6"/>
    <w:rsid w:val="000E4AE6"/>
    <w:rsid w:val="000E62CB"/>
    <w:rsid w:val="000F6578"/>
    <w:rsid w:val="000F6DB7"/>
    <w:rsid w:val="00104B80"/>
    <w:rsid w:val="0010608F"/>
    <w:rsid w:val="00107A05"/>
    <w:rsid w:val="00111F1A"/>
    <w:rsid w:val="00111F21"/>
    <w:rsid w:val="00112887"/>
    <w:rsid w:val="0011382C"/>
    <w:rsid w:val="00113B94"/>
    <w:rsid w:val="00114672"/>
    <w:rsid w:val="00114D6F"/>
    <w:rsid w:val="00116139"/>
    <w:rsid w:val="00116522"/>
    <w:rsid w:val="00116E43"/>
    <w:rsid w:val="00117305"/>
    <w:rsid w:val="00117B6F"/>
    <w:rsid w:val="00117EED"/>
    <w:rsid w:val="0012099A"/>
    <w:rsid w:val="00122F93"/>
    <w:rsid w:val="00123257"/>
    <w:rsid w:val="00123442"/>
    <w:rsid w:val="001245F8"/>
    <w:rsid w:val="001249A1"/>
    <w:rsid w:val="0012509B"/>
    <w:rsid w:val="00126076"/>
    <w:rsid w:val="00126835"/>
    <w:rsid w:val="00127BFC"/>
    <w:rsid w:val="001314D0"/>
    <w:rsid w:val="00132558"/>
    <w:rsid w:val="00132DE0"/>
    <w:rsid w:val="0013425E"/>
    <w:rsid w:val="0013442F"/>
    <w:rsid w:val="001353D8"/>
    <w:rsid w:val="00135654"/>
    <w:rsid w:val="00136617"/>
    <w:rsid w:val="00137319"/>
    <w:rsid w:val="0014056A"/>
    <w:rsid w:val="00143FE1"/>
    <w:rsid w:val="00145EE6"/>
    <w:rsid w:val="001460A0"/>
    <w:rsid w:val="001476A6"/>
    <w:rsid w:val="00147CD7"/>
    <w:rsid w:val="0015174A"/>
    <w:rsid w:val="00152373"/>
    <w:rsid w:val="0015459A"/>
    <w:rsid w:val="0015501F"/>
    <w:rsid w:val="00155622"/>
    <w:rsid w:val="00156223"/>
    <w:rsid w:val="0015629D"/>
    <w:rsid w:val="0015721B"/>
    <w:rsid w:val="001610BE"/>
    <w:rsid w:val="00164585"/>
    <w:rsid w:val="00165535"/>
    <w:rsid w:val="0016561C"/>
    <w:rsid w:val="00166A8B"/>
    <w:rsid w:val="00167D6B"/>
    <w:rsid w:val="001716BA"/>
    <w:rsid w:val="0017212E"/>
    <w:rsid w:val="00172CA9"/>
    <w:rsid w:val="00172F56"/>
    <w:rsid w:val="00173A97"/>
    <w:rsid w:val="00174541"/>
    <w:rsid w:val="00175B96"/>
    <w:rsid w:val="00177A70"/>
    <w:rsid w:val="00181C06"/>
    <w:rsid w:val="001823F1"/>
    <w:rsid w:val="00182703"/>
    <w:rsid w:val="001827E9"/>
    <w:rsid w:val="00183C22"/>
    <w:rsid w:val="00183EF6"/>
    <w:rsid w:val="00184D80"/>
    <w:rsid w:val="00186E70"/>
    <w:rsid w:val="00187B44"/>
    <w:rsid w:val="00190F79"/>
    <w:rsid w:val="00192CE7"/>
    <w:rsid w:val="00193885"/>
    <w:rsid w:val="00193BBB"/>
    <w:rsid w:val="001945CF"/>
    <w:rsid w:val="001953D1"/>
    <w:rsid w:val="00197609"/>
    <w:rsid w:val="0019774B"/>
    <w:rsid w:val="001A272C"/>
    <w:rsid w:val="001A3EDB"/>
    <w:rsid w:val="001A444B"/>
    <w:rsid w:val="001A4D23"/>
    <w:rsid w:val="001A4FB5"/>
    <w:rsid w:val="001A60EC"/>
    <w:rsid w:val="001A6AF6"/>
    <w:rsid w:val="001B0611"/>
    <w:rsid w:val="001B0BC7"/>
    <w:rsid w:val="001B1A9C"/>
    <w:rsid w:val="001B2E97"/>
    <w:rsid w:val="001B61CD"/>
    <w:rsid w:val="001C080A"/>
    <w:rsid w:val="001C2703"/>
    <w:rsid w:val="001C54CA"/>
    <w:rsid w:val="001C5D0A"/>
    <w:rsid w:val="001C75D6"/>
    <w:rsid w:val="001C7DA7"/>
    <w:rsid w:val="001C7E5B"/>
    <w:rsid w:val="001C7F5E"/>
    <w:rsid w:val="001D03C5"/>
    <w:rsid w:val="001D4269"/>
    <w:rsid w:val="001D4FC1"/>
    <w:rsid w:val="001D6989"/>
    <w:rsid w:val="001E0C07"/>
    <w:rsid w:val="001E2990"/>
    <w:rsid w:val="001E2AA4"/>
    <w:rsid w:val="001E2B12"/>
    <w:rsid w:val="001E3581"/>
    <w:rsid w:val="001E49B2"/>
    <w:rsid w:val="001E5087"/>
    <w:rsid w:val="001E5340"/>
    <w:rsid w:val="001E6478"/>
    <w:rsid w:val="001E708B"/>
    <w:rsid w:val="001E74CF"/>
    <w:rsid w:val="001E754F"/>
    <w:rsid w:val="001F0509"/>
    <w:rsid w:val="001F0EE5"/>
    <w:rsid w:val="001F1A4D"/>
    <w:rsid w:val="001F1F63"/>
    <w:rsid w:val="001F2F20"/>
    <w:rsid w:val="001F539B"/>
    <w:rsid w:val="002014A6"/>
    <w:rsid w:val="0020205C"/>
    <w:rsid w:val="00202D7A"/>
    <w:rsid w:val="00205DEF"/>
    <w:rsid w:val="00206EB7"/>
    <w:rsid w:val="00207DB1"/>
    <w:rsid w:val="00210659"/>
    <w:rsid w:val="00211CE6"/>
    <w:rsid w:val="0021312C"/>
    <w:rsid w:val="0021655E"/>
    <w:rsid w:val="00221732"/>
    <w:rsid w:val="0022235B"/>
    <w:rsid w:val="002247EA"/>
    <w:rsid w:val="0022488B"/>
    <w:rsid w:val="00225D7E"/>
    <w:rsid w:val="002305B5"/>
    <w:rsid w:val="002306F8"/>
    <w:rsid w:val="002307ED"/>
    <w:rsid w:val="002310C9"/>
    <w:rsid w:val="00232438"/>
    <w:rsid w:val="0023265D"/>
    <w:rsid w:val="00235EB3"/>
    <w:rsid w:val="00236AEF"/>
    <w:rsid w:val="00246480"/>
    <w:rsid w:val="002471FB"/>
    <w:rsid w:val="002475D5"/>
    <w:rsid w:val="002476EB"/>
    <w:rsid w:val="002506AB"/>
    <w:rsid w:val="00252065"/>
    <w:rsid w:val="002531A4"/>
    <w:rsid w:val="0025424F"/>
    <w:rsid w:val="00254342"/>
    <w:rsid w:val="002555F6"/>
    <w:rsid w:val="00255DA0"/>
    <w:rsid w:val="002570BC"/>
    <w:rsid w:val="00260FBC"/>
    <w:rsid w:val="00261EEA"/>
    <w:rsid w:val="00263D6B"/>
    <w:rsid w:val="0026441B"/>
    <w:rsid w:val="002645A1"/>
    <w:rsid w:val="00267138"/>
    <w:rsid w:val="002701B3"/>
    <w:rsid w:val="00270DDC"/>
    <w:rsid w:val="00271D40"/>
    <w:rsid w:val="002729CB"/>
    <w:rsid w:val="00274B59"/>
    <w:rsid w:val="00276E30"/>
    <w:rsid w:val="0027746B"/>
    <w:rsid w:val="00281A18"/>
    <w:rsid w:val="00282417"/>
    <w:rsid w:val="00282446"/>
    <w:rsid w:val="00283134"/>
    <w:rsid w:val="0028326A"/>
    <w:rsid w:val="00283BA8"/>
    <w:rsid w:val="00283E2B"/>
    <w:rsid w:val="00284516"/>
    <w:rsid w:val="00284B37"/>
    <w:rsid w:val="0028525F"/>
    <w:rsid w:val="0028691D"/>
    <w:rsid w:val="00286DF5"/>
    <w:rsid w:val="002875F3"/>
    <w:rsid w:val="00290047"/>
    <w:rsid w:val="0029005C"/>
    <w:rsid w:val="00294D24"/>
    <w:rsid w:val="00296784"/>
    <w:rsid w:val="00297C43"/>
    <w:rsid w:val="002A0C42"/>
    <w:rsid w:val="002A5FCA"/>
    <w:rsid w:val="002A7564"/>
    <w:rsid w:val="002A7AF7"/>
    <w:rsid w:val="002B021B"/>
    <w:rsid w:val="002B022D"/>
    <w:rsid w:val="002B04F2"/>
    <w:rsid w:val="002B0595"/>
    <w:rsid w:val="002B2C17"/>
    <w:rsid w:val="002B63B4"/>
    <w:rsid w:val="002C1B7A"/>
    <w:rsid w:val="002C23EC"/>
    <w:rsid w:val="002C5ACB"/>
    <w:rsid w:val="002C61F7"/>
    <w:rsid w:val="002C7503"/>
    <w:rsid w:val="002D08D7"/>
    <w:rsid w:val="002D42E4"/>
    <w:rsid w:val="002D63C2"/>
    <w:rsid w:val="002D6506"/>
    <w:rsid w:val="002E0C2A"/>
    <w:rsid w:val="002E6712"/>
    <w:rsid w:val="002E7881"/>
    <w:rsid w:val="002F0F8C"/>
    <w:rsid w:val="002F2EF1"/>
    <w:rsid w:val="002F3865"/>
    <w:rsid w:val="002F475E"/>
    <w:rsid w:val="00301DE8"/>
    <w:rsid w:val="00303A7D"/>
    <w:rsid w:val="003047DD"/>
    <w:rsid w:val="00305214"/>
    <w:rsid w:val="00306043"/>
    <w:rsid w:val="00306723"/>
    <w:rsid w:val="00306C08"/>
    <w:rsid w:val="00311C34"/>
    <w:rsid w:val="00312924"/>
    <w:rsid w:val="0031404D"/>
    <w:rsid w:val="0031416E"/>
    <w:rsid w:val="00316469"/>
    <w:rsid w:val="00316BD5"/>
    <w:rsid w:val="003211A5"/>
    <w:rsid w:val="0032122B"/>
    <w:rsid w:val="00322342"/>
    <w:rsid w:val="0032608F"/>
    <w:rsid w:val="00326348"/>
    <w:rsid w:val="00326654"/>
    <w:rsid w:val="003300DB"/>
    <w:rsid w:val="00330CAA"/>
    <w:rsid w:val="00331556"/>
    <w:rsid w:val="00332333"/>
    <w:rsid w:val="003325FB"/>
    <w:rsid w:val="003337BC"/>
    <w:rsid w:val="00343D1C"/>
    <w:rsid w:val="003443CF"/>
    <w:rsid w:val="0034448C"/>
    <w:rsid w:val="0034538E"/>
    <w:rsid w:val="00345700"/>
    <w:rsid w:val="0034665C"/>
    <w:rsid w:val="00350240"/>
    <w:rsid w:val="00350387"/>
    <w:rsid w:val="00350E28"/>
    <w:rsid w:val="00351270"/>
    <w:rsid w:val="00351A9D"/>
    <w:rsid w:val="00352425"/>
    <w:rsid w:val="003535C5"/>
    <w:rsid w:val="003546E0"/>
    <w:rsid w:val="0035690B"/>
    <w:rsid w:val="00362414"/>
    <w:rsid w:val="0036265A"/>
    <w:rsid w:val="00363C37"/>
    <w:rsid w:val="00370EDE"/>
    <w:rsid w:val="003722F9"/>
    <w:rsid w:val="003740FD"/>
    <w:rsid w:val="0037493E"/>
    <w:rsid w:val="00374E92"/>
    <w:rsid w:val="00376163"/>
    <w:rsid w:val="00382242"/>
    <w:rsid w:val="00382328"/>
    <w:rsid w:val="00382DDF"/>
    <w:rsid w:val="00383D36"/>
    <w:rsid w:val="0038406D"/>
    <w:rsid w:val="00385204"/>
    <w:rsid w:val="00385DCB"/>
    <w:rsid w:val="00390858"/>
    <w:rsid w:val="00391B8C"/>
    <w:rsid w:val="0039369B"/>
    <w:rsid w:val="003950A1"/>
    <w:rsid w:val="003960D3"/>
    <w:rsid w:val="0039747E"/>
    <w:rsid w:val="003A0AD9"/>
    <w:rsid w:val="003A1903"/>
    <w:rsid w:val="003A1FB4"/>
    <w:rsid w:val="003A21DF"/>
    <w:rsid w:val="003A2507"/>
    <w:rsid w:val="003A2AA3"/>
    <w:rsid w:val="003A35CB"/>
    <w:rsid w:val="003A37F7"/>
    <w:rsid w:val="003A527C"/>
    <w:rsid w:val="003A5F9A"/>
    <w:rsid w:val="003A62A5"/>
    <w:rsid w:val="003A6CAC"/>
    <w:rsid w:val="003A6DEB"/>
    <w:rsid w:val="003A74C1"/>
    <w:rsid w:val="003A787B"/>
    <w:rsid w:val="003B0F2F"/>
    <w:rsid w:val="003B11CD"/>
    <w:rsid w:val="003B2466"/>
    <w:rsid w:val="003B4ACA"/>
    <w:rsid w:val="003C0FC8"/>
    <w:rsid w:val="003C3DB9"/>
    <w:rsid w:val="003C506E"/>
    <w:rsid w:val="003D11FF"/>
    <w:rsid w:val="003D320C"/>
    <w:rsid w:val="003D3621"/>
    <w:rsid w:val="003D4491"/>
    <w:rsid w:val="003D6A00"/>
    <w:rsid w:val="003E0C8E"/>
    <w:rsid w:val="003E2417"/>
    <w:rsid w:val="003E4168"/>
    <w:rsid w:val="003E6A16"/>
    <w:rsid w:val="003F006B"/>
    <w:rsid w:val="003F252F"/>
    <w:rsid w:val="003F2CE3"/>
    <w:rsid w:val="003F34BD"/>
    <w:rsid w:val="003F429D"/>
    <w:rsid w:val="003F4847"/>
    <w:rsid w:val="003F4A72"/>
    <w:rsid w:val="003F4F99"/>
    <w:rsid w:val="003F5A67"/>
    <w:rsid w:val="003F5BF6"/>
    <w:rsid w:val="003F6DD6"/>
    <w:rsid w:val="003F705B"/>
    <w:rsid w:val="004003AE"/>
    <w:rsid w:val="004015BD"/>
    <w:rsid w:val="00401A01"/>
    <w:rsid w:val="00401F9D"/>
    <w:rsid w:val="00402442"/>
    <w:rsid w:val="00402B03"/>
    <w:rsid w:val="00405646"/>
    <w:rsid w:val="0040583F"/>
    <w:rsid w:val="00405989"/>
    <w:rsid w:val="00412DC9"/>
    <w:rsid w:val="00413BC2"/>
    <w:rsid w:val="00415307"/>
    <w:rsid w:val="004162E5"/>
    <w:rsid w:val="00416548"/>
    <w:rsid w:val="004176F1"/>
    <w:rsid w:val="00417964"/>
    <w:rsid w:val="00420480"/>
    <w:rsid w:val="004218ED"/>
    <w:rsid w:val="00421A53"/>
    <w:rsid w:val="00423A6D"/>
    <w:rsid w:val="00423E07"/>
    <w:rsid w:val="0042454D"/>
    <w:rsid w:val="0042539E"/>
    <w:rsid w:val="00425C83"/>
    <w:rsid w:val="0042632C"/>
    <w:rsid w:val="00426FDE"/>
    <w:rsid w:val="00427736"/>
    <w:rsid w:val="00427737"/>
    <w:rsid w:val="004311CD"/>
    <w:rsid w:val="00431250"/>
    <w:rsid w:val="0043130B"/>
    <w:rsid w:val="00433AD5"/>
    <w:rsid w:val="00437020"/>
    <w:rsid w:val="004375D7"/>
    <w:rsid w:val="00442DBD"/>
    <w:rsid w:val="004442B3"/>
    <w:rsid w:val="00444FC0"/>
    <w:rsid w:val="0044565D"/>
    <w:rsid w:val="00447766"/>
    <w:rsid w:val="00447A32"/>
    <w:rsid w:val="00452037"/>
    <w:rsid w:val="00453EA4"/>
    <w:rsid w:val="0045591B"/>
    <w:rsid w:val="00455D5F"/>
    <w:rsid w:val="004578C1"/>
    <w:rsid w:val="0046216F"/>
    <w:rsid w:val="0046289D"/>
    <w:rsid w:val="004636F8"/>
    <w:rsid w:val="004643E6"/>
    <w:rsid w:val="0046550A"/>
    <w:rsid w:val="00465805"/>
    <w:rsid w:val="0047359B"/>
    <w:rsid w:val="004738C9"/>
    <w:rsid w:val="00475695"/>
    <w:rsid w:val="00480977"/>
    <w:rsid w:val="00486355"/>
    <w:rsid w:val="004870E5"/>
    <w:rsid w:val="00487894"/>
    <w:rsid w:val="00491065"/>
    <w:rsid w:val="004947F5"/>
    <w:rsid w:val="00494835"/>
    <w:rsid w:val="004A0C09"/>
    <w:rsid w:val="004A22FE"/>
    <w:rsid w:val="004A2842"/>
    <w:rsid w:val="004A2D0C"/>
    <w:rsid w:val="004A7CDC"/>
    <w:rsid w:val="004B2BA8"/>
    <w:rsid w:val="004B577B"/>
    <w:rsid w:val="004B6356"/>
    <w:rsid w:val="004B6F34"/>
    <w:rsid w:val="004C1D82"/>
    <w:rsid w:val="004C68A9"/>
    <w:rsid w:val="004C79FA"/>
    <w:rsid w:val="004C7D46"/>
    <w:rsid w:val="004D0EFF"/>
    <w:rsid w:val="004D2030"/>
    <w:rsid w:val="004D4659"/>
    <w:rsid w:val="004D5F60"/>
    <w:rsid w:val="004D6ABB"/>
    <w:rsid w:val="004E3E38"/>
    <w:rsid w:val="004E42E5"/>
    <w:rsid w:val="004E69AE"/>
    <w:rsid w:val="004E7FF7"/>
    <w:rsid w:val="00500EBD"/>
    <w:rsid w:val="00502EBD"/>
    <w:rsid w:val="005078CA"/>
    <w:rsid w:val="00510249"/>
    <w:rsid w:val="005103C7"/>
    <w:rsid w:val="005120A7"/>
    <w:rsid w:val="0051295F"/>
    <w:rsid w:val="00512B81"/>
    <w:rsid w:val="00513731"/>
    <w:rsid w:val="005138BC"/>
    <w:rsid w:val="00513F4F"/>
    <w:rsid w:val="00514900"/>
    <w:rsid w:val="00514A9E"/>
    <w:rsid w:val="00515914"/>
    <w:rsid w:val="00516EED"/>
    <w:rsid w:val="00522562"/>
    <w:rsid w:val="0052338E"/>
    <w:rsid w:val="00523653"/>
    <w:rsid w:val="00523CD1"/>
    <w:rsid w:val="0052562E"/>
    <w:rsid w:val="0052567C"/>
    <w:rsid w:val="00525794"/>
    <w:rsid w:val="00526806"/>
    <w:rsid w:val="00527D91"/>
    <w:rsid w:val="00534661"/>
    <w:rsid w:val="00535351"/>
    <w:rsid w:val="00536916"/>
    <w:rsid w:val="005417D4"/>
    <w:rsid w:val="00541EA9"/>
    <w:rsid w:val="00545B57"/>
    <w:rsid w:val="00551033"/>
    <w:rsid w:val="00553D46"/>
    <w:rsid w:val="00554046"/>
    <w:rsid w:val="005544AF"/>
    <w:rsid w:val="005569FE"/>
    <w:rsid w:val="00557FB5"/>
    <w:rsid w:val="00561316"/>
    <w:rsid w:val="00561330"/>
    <w:rsid w:val="00562499"/>
    <w:rsid w:val="00565876"/>
    <w:rsid w:val="00567F92"/>
    <w:rsid w:val="00571A34"/>
    <w:rsid w:val="00572E74"/>
    <w:rsid w:val="00573851"/>
    <w:rsid w:val="0057723A"/>
    <w:rsid w:val="0057772E"/>
    <w:rsid w:val="00577B83"/>
    <w:rsid w:val="00577F1D"/>
    <w:rsid w:val="005804F0"/>
    <w:rsid w:val="005817E6"/>
    <w:rsid w:val="00582D79"/>
    <w:rsid w:val="00584567"/>
    <w:rsid w:val="00585482"/>
    <w:rsid w:val="00585976"/>
    <w:rsid w:val="0059108B"/>
    <w:rsid w:val="00593013"/>
    <w:rsid w:val="00594ABD"/>
    <w:rsid w:val="00595033"/>
    <w:rsid w:val="00595B5F"/>
    <w:rsid w:val="00596A80"/>
    <w:rsid w:val="005A0661"/>
    <w:rsid w:val="005A1A9B"/>
    <w:rsid w:val="005A3650"/>
    <w:rsid w:val="005A3E0C"/>
    <w:rsid w:val="005A41B7"/>
    <w:rsid w:val="005A5880"/>
    <w:rsid w:val="005A67E2"/>
    <w:rsid w:val="005A6E43"/>
    <w:rsid w:val="005B0475"/>
    <w:rsid w:val="005B1E71"/>
    <w:rsid w:val="005B2C6B"/>
    <w:rsid w:val="005B394B"/>
    <w:rsid w:val="005B4034"/>
    <w:rsid w:val="005B45EA"/>
    <w:rsid w:val="005B4F10"/>
    <w:rsid w:val="005B70D2"/>
    <w:rsid w:val="005B712F"/>
    <w:rsid w:val="005B7195"/>
    <w:rsid w:val="005C087D"/>
    <w:rsid w:val="005C1461"/>
    <w:rsid w:val="005C717E"/>
    <w:rsid w:val="005C7DD5"/>
    <w:rsid w:val="005D0090"/>
    <w:rsid w:val="005D12FA"/>
    <w:rsid w:val="005D1324"/>
    <w:rsid w:val="005D16DB"/>
    <w:rsid w:val="005D1B67"/>
    <w:rsid w:val="005D3E7C"/>
    <w:rsid w:val="005D5D8E"/>
    <w:rsid w:val="005D6022"/>
    <w:rsid w:val="005D618A"/>
    <w:rsid w:val="005D6486"/>
    <w:rsid w:val="005D6A2E"/>
    <w:rsid w:val="005D6F28"/>
    <w:rsid w:val="005E285C"/>
    <w:rsid w:val="005E2874"/>
    <w:rsid w:val="005E3A0D"/>
    <w:rsid w:val="005E3A6B"/>
    <w:rsid w:val="005E4A0C"/>
    <w:rsid w:val="005E54AC"/>
    <w:rsid w:val="005E5ACF"/>
    <w:rsid w:val="005E65F3"/>
    <w:rsid w:val="005E6BE9"/>
    <w:rsid w:val="005F0814"/>
    <w:rsid w:val="005F0F43"/>
    <w:rsid w:val="005F23FB"/>
    <w:rsid w:val="005F4115"/>
    <w:rsid w:val="005F4551"/>
    <w:rsid w:val="005F6561"/>
    <w:rsid w:val="005F68EE"/>
    <w:rsid w:val="005F6A8E"/>
    <w:rsid w:val="005F6D48"/>
    <w:rsid w:val="005F732D"/>
    <w:rsid w:val="005F7BE5"/>
    <w:rsid w:val="00600907"/>
    <w:rsid w:val="00600AE6"/>
    <w:rsid w:val="0060242F"/>
    <w:rsid w:val="0060247E"/>
    <w:rsid w:val="00603027"/>
    <w:rsid w:val="00604A12"/>
    <w:rsid w:val="00606CBA"/>
    <w:rsid w:val="00607937"/>
    <w:rsid w:val="00612D49"/>
    <w:rsid w:val="00613AD3"/>
    <w:rsid w:val="00613E22"/>
    <w:rsid w:val="006146B9"/>
    <w:rsid w:val="006174FC"/>
    <w:rsid w:val="00617762"/>
    <w:rsid w:val="006219B6"/>
    <w:rsid w:val="00624752"/>
    <w:rsid w:val="00632261"/>
    <w:rsid w:val="0063340D"/>
    <w:rsid w:val="00633F46"/>
    <w:rsid w:val="0063415C"/>
    <w:rsid w:val="00634542"/>
    <w:rsid w:val="00634CE2"/>
    <w:rsid w:val="0063585B"/>
    <w:rsid w:val="00637B17"/>
    <w:rsid w:val="0064002C"/>
    <w:rsid w:val="006447B6"/>
    <w:rsid w:val="00645A04"/>
    <w:rsid w:val="00646020"/>
    <w:rsid w:val="0064705F"/>
    <w:rsid w:val="00647B1B"/>
    <w:rsid w:val="00647D18"/>
    <w:rsid w:val="00651292"/>
    <w:rsid w:val="00651DCC"/>
    <w:rsid w:val="00653E53"/>
    <w:rsid w:val="006553F6"/>
    <w:rsid w:val="00655E2B"/>
    <w:rsid w:val="00655F2F"/>
    <w:rsid w:val="006600E7"/>
    <w:rsid w:val="00660D1E"/>
    <w:rsid w:val="006624A0"/>
    <w:rsid w:val="006665BA"/>
    <w:rsid w:val="006719D6"/>
    <w:rsid w:val="00671C3A"/>
    <w:rsid w:val="00672D34"/>
    <w:rsid w:val="006744E9"/>
    <w:rsid w:val="00676240"/>
    <w:rsid w:val="00676774"/>
    <w:rsid w:val="00676912"/>
    <w:rsid w:val="00676CE2"/>
    <w:rsid w:val="00677551"/>
    <w:rsid w:val="00677AB8"/>
    <w:rsid w:val="00680FEE"/>
    <w:rsid w:val="00687649"/>
    <w:rsid w:val="00694422"/>
    <w:rsid w:val="006A01EA"/>
    <w:rsid w:val="006A4CB9"/>
    <w:rsid w:val="006A516D"/>
    <w:rsid w:val="006A5670"/>
    <w:rsid w:val="006A6EE4"/>
    <w:rsid w:val="006A74A0"/>
    <w:rsid w:val="006B4242"/>
    <w:rsid w:val="006C1253"/>
    <w:rsid w:val="006C1677"/>
    <w:rsid w:val="006C2B39"/>
    <w:rsid w:val="006C5726"/>
    <w:rsid w:val="006C7C87"/>
    <w:rsid w:val="006D210E"/>
    <w:rsid w:val="006D28CA"/>
    <w:rsid w:val="006D4283"/>
    <w:rsid w:val="006D458A"/>
    <w:rsid w:val="006D496A"/>
    <w:rsid w:val="006D4A2E"/>
    <w:rsid w:val="006D5771"/>
    <w:rsid w:val="006E05DC"/>
    <w:rsid w:val="006E3B25"/>
    <w:rsid w:val="006E5D32"/>
    <w:rsid w:val="006E6C21"/>
    <w:rsid w:val="006F1970"/>
    <w:rsid w:val="006F24B4"/>
    <w:rsid w:val="006F4268"/>
    <w:rsid w:val="006F4310"/>
    <w:rsid w:val="006F7058"/>
    <w:rsid w:val="0070089D"/>
    <w:rsid w:val="00702BC3"/>
    <w:rsid w:val="00702FF0"/>
    <w:rsid w:val="00703566"/>
    <w:rsid w:val="007047A2"/>
    <w:rsid w:val="007052F7"/>
    <w:rsid w:val="00706075"/>
    <w:rsid w:val="00711413"/>
    <w:rsid w:val="00715C0E"/>
    <w:rsid w:val="00716FF1"/>
    <w:rsid w:val="007176BA"/>
    <w:rsid w:val="0072043A"/>
    <w:rsid w:val="00721391"/>
    <w:rsid w:val="007228F2"/>
    <w:rsid w:val="00724E86"/>
    <w:rsid w:val="00725262"/>
    <w:rsid w:val="0072710A"/>
    <w:rsid w:val="00727D62"/>
    <w:rsid w:val="0073268F"/>
    <w:rsid w:val="007328DC"/>
    <w:rsid w:val="00732B1D"/>
    <w:rsid w:val="00733F6C"/>
    <w:rsid w:val="007356E0"/>
    <w:rsid w:val="00735ED4"/>
    <w:rsid w:val="00736EFC"/>
    <w:rsid w:val="007416E0"/>
    <w:rsid w:val="00742758"/>
    <w:rsid w:val="00743D14"/>
    <w:rsid w:val="007462DC"/>
    <w:rsid w:val="007469D1"/>
    <w:rsid w:val="00747019"/>
    <w:rsid w:val="00747DC2"/>
    <w:rsid w:val="0075285B"/>
    <w:rsid w:val="00752C06"/>
    <w:rsid w:val="00753A29"/>
    <w:rsid w:val="007566D6"/>
    <w:rsid w:val="00756F10"/>
    <w:rsid w:val="00757C09"/>
    <w:rsid w:val="007617A5"/>
    <w:rsid w:val="00761B8C"/>
    <w:rsid w:val="00761B91"/>
    <w:rsid w:val="00761F32"/>
    <w:rsid w:val="00762227"/>
    <w:rsid w:val="00762635"/>
    <w:rsid w:val="007634E0"/>
    <w:rsid w:val="00763CC2"/>
    <w:rsid w:val="00763E12"/>
    <w:rsid w:val="00764887"/>
    <w:rsid w:val="00764BD5"/>
    <w:rsid w:val="00764F0F"/>
    <w:rsid w:val="007657FB"/>
    <w:rsid w:val="00767551"/>
    <w:rsid w:val="00767B11"/>
    <w:rsid w:val="0077203C"/>
    <w:rsid w:val="00772DB2"/>
    <w:rsid w:val="00775A03"/>
    <w:rsid w:val="00776DDF"/>
    <w:rsid w:val="007777D4"/>
    <w:rsid w:val="00777921"/>
    <w:rsid w:val="00780154"/>
    <w:rsid w:val="00780E39"/>
    <w:rsid w:val="00784653"/>
    <w:rsid w:val="00784A4C"/>
    <w:rsid w:val="007854F4"/>
    <w:rsid w:val="00785AE5"/>
    <w:rsid w:val="007863FD"/>
    <w:rsid w:val="00787331"/>
    <w:rsid w:val="007873F9"/>
    <w:rsid w:val="00787EF5"/>
    <w:rsid w:val="007907BC"/>
    <w:rsid w:val="00792FBE"/>
    <w:rsid w:val="00797773"/>
    <w:rsid w:val="007A08CC"/>
    <w:rsid w:val="007A0997"/>
    <w:rsid w:val="007A341D"/>
    <w:rsid w:val="007A4873"/>
    <w:rsid w:val="007A6F5C"/>
    <w:rsid w:val="007A7271"/>
    <w:rsid w:val="007C1594"/>
    <w:rsid w:val="007C205E"/>
    <w:rsid w:val="007C2246"/>
    <w:rsid w:val="007C3438"/>
    <w:rsid w:val="007C3CF0"/>
    <w:rsid w:val="007C5789"/>
    <w:rsid w:val="007C651B"/>
    <w:rsid w:val="007D0785"/>
    <w:rsid w:val="007D271A"/>
    <w:rsid w:val="007D3D9E"/>
    <w:rsid w:val="007D42CC"/>
    <w:rsid w:val="007D649D"/>
    <w:rsid w:val="007D66A3"/>
    <w:rsid w:val="007D6B9C"/>
    <w:rsid w:val="007E0526"/>
    <w:rsid w:val="007E1C24"/>
    <w:rsid w:val="007E3D3A"/>
    <w:rsid w:val="007E4A52"/>
    <w:rsid w:val="007E58CA"/>
    <w:rsid w:val="007E5D4B"/>
    <w:rsid w:val="007E665A"/>
    <w:rsid w:val="007E66E7"/>
    <w:rsid w:val="007E6916"/>
    <w:rsid w:val="007E7D4F"/>
    <w:rsid w:val="007F0523"/>
    <w:rsid w:val="007F3E3E"/>
    <w:rsid w:val="007F5D3F"/>
    <w:rsid w:val="007F6108"/>
    <w:rsid w:val="00801688"/>
    <w:rsid w:val="0080206F"/>
    <w:rsid w:val="00802708"/>
    <w:rsid w:val="00804005"/>
    <w:rsid w:val="0081001C"/>
    <w:rsid w:val="00811135"/>
    <w:rsid w:val="00812191"/>
    <w:rsid w:val="0081224B"/>
    <w:rsid w:val="00817E97"/>
    <w:rsid w:val="008202EF"/>
    <w:rsid w:val="00822A25"/>
    <w:rsid w:val="00823B43"/>
    <w:rsid w:val="008246F3"/>
    <w:rsid w:val="00825D0B"/>
    <w:rsid w:val="00826D1A"/>
    <w:rsid w:val="00827F9A"/>
    <w:rsid w:val="008305AA"/>
    <w:rsid w:val="00832D41"/>
    <w:rsid w:val="00834217"/>
    <w:rsid w:val="00835928"/>
    <w:rsid w:val="008429FE"/>
    <w:rsid w:val="00843015"/>
    <w:rsid w:val="00845A87"/>
    <w:rsid w:val="0085078A"/>
    <w:rsid w:val="008514B8"/>
    <w:rsid w:val="008520A9"/>
    <w:rsid w:val="00852E37"/>
    <w:rsid w:val="0085633F"/>
    <w:rsid w:val="00860371"/>
    <w:rsid w:val="008615EE"/>
    <w:rsid w:val="0086270E"/>
    <w:rsid w:val="00864354"/>
    <w:rsid w:val="00865301"/>
    <w:rsid w:val="008658D7"/>
    <w:rsid w:val="00870870"/>
    <w:rsid w:val="00872E36"/>
    <w:rsid w:val="0087349D"/>
    <w:rsid w:val="008750BF"/>
    <w:rsid w:val="00882795"/>
    <w:rsid w:val="00882A5C"/>
    <w:rsid w:val="00882E0C"/>
    <w:rsid w:val="00884FAA"/>
    <w:rsid w:val="00886F0F"/>
    <w:rsid w:val="00887F8D"/>
    <w:rsid w:val="00890391"/>
    <w:rsid w:val="008907B7"/>
    <w:rsid w:val="00890BE7"/>
    <w:rsid w:val="0089423E"/>
    <w:rsid w:val="0089540D"/>
    <w:rsid w:val="0089581F"/>
    <w:rsid w:val="00896099"/>
    <w:rsid w:val="008A0A78"/>
    <w:rsid w:val="008A2A54"/>
    <w:rsid w:val="008A2D04"/>
    <w:rsid w:val="008A3337"/>
    <w:rsid w:val="008A3915"/>
    <w:rsid w:val="008A45B1"/>
    <w:rsid w:val="008A4ABB"/>
    <w:rsid w:val="008A6693"/>
    <w:rsid w:val="008B00A2"/>
    <w:rsid w:val="008B0F0A"/>
    <w:rsid w:val="008B0F6C"/>
    <w:rsid w:val="008B21D4"/>
    <w:rsid w:val="008B2794"/>
    <w:rsid w:val="008B6AAC"/>
    <w:rsid w:val="008B6E20"/>
    <w:rsid w:val="008B7CBE"/>
    <w:rsid w:val="008C0074"/>
    <w:rsid w:val="008C01A3"/>
    <w:rsid w:val="008C1086"/>
    <w:rsid w:val="008C10EA"/>
    <w:rsid w:val="008C2BAD"/>
    <w:rsid w:val="008C2CB5"/>
    <w:rsid w:val="008C423F"/>
    <w:rsid w:val="008C514F"/>
    <w:rsid w:val="008C7831"/>
    <w:rsid w:val="008D02D3"/>
    <w:rsid w:val="008D1345"/>
    <w:rsid w:val="008D222B"/>
    <w:rsid w:val="008D238D"/>
    <w:rsid w:val="008D29C0"/>
    <w:rsid w:val="008D2D0E"/>
    <w:rsid w:val="008D64B8"/>
    <w:rsid w:val="008D7105"/>
    <w:rsid w:val="008D7A6E"/>
    <w:rsid w:val="008E01E0"/>
    <w:rsid w:val="008E038F"/>
    <w:rsid w:val="008E16B1"/>
    <w:rsid w:val="008E1E2D"/>
    <w:rsid w:val="008E584F"/>
    <w:rsid w:val="008E7BD7"/>
    <w:rsid w:val="008E7C66"/>
    <w:rsid w:val="008F130A"/>
    <w:rsid w:val="008F3848"/>
    <w:rsid w:val="008F518A"/>
    <w:rsid w:val="008F73F5"/>
    <w:rsid w:val="008F78E0"/>
    <w:rsid w:val="008F7A6A"/>
    <w:rsid w:val="00900AA1"/>
    <w:rsid w:val="00900FDB"/>
    <w:rsid w:val="009010B3"/>
    <w:rsid w:val="0090319D"/>
    <w:rsid w:val="009031CF"/>
    <w:rsid w:val="009032F3"/>
    <w:rsid w:val="009042FC"/>
    <w:rsid w:val="00906249"/>
    <w:rsid w:val="009068DD"/>
    <w:rsid w:val="00906AB4"/>
    <w:rsid w:val="00907096"/>
    <w:rsid w:val="00910ED2"/>
    <w:rsid w:val="009111F4"/>
    <w:rsid w:val="009127C1"/>
    <w:rsid w:val="00912B87"/>
    <w:rsid w:val="00913400"/>
    <w:rsid w:val="00913CCA"/>
    <w:rsid w:val="00914C98"/>
    <w:rsid w:val="00916607"/>
    <w:rsid w:val="00916C86"/>
    <w:rsid w:val="0091733D"/>
    <w:rsid w:val="009175CF"/>
    <w:rsid w:val="009208D0"/>
    <w:rsid w:val="00921CA0"/>
    <w:rsid w:val="00921F71"/>
    <w:rsid w:val="009241CE"/>
    <w:rsid w:val="009255A7"/>
    <w:rsid w:val="00927D0C"/>
    <w:rsid w:val="00930363"/>
    <w:rsid w:val="00930802"/>
    <w:rsid w:val="00930DB5"/>
    <w:rsid w:val="00931DAF"/>
    <w:rsid w:val="00932D4C"/>
    <w:rsid w:val="00935702"/>
    <w:rsid w:val="009404B5"/>
    <w:rsid w:val="009426F6"/>
    <w:rsid w:val="00943128"/>
    <w:rsid w:val="009437D6"/>
    <w:rsid w:val="00947740"/>
    <w:rsid w:val="00947B88"/>
    <w:rsid w:val="00952181"/>
    <w:rsid w:val="0095268E"/>
    <w:rsid w:val="0095275F"/>
    <w:rsid w:val="00953D42"/>
    <w:rsid w:val="00956E80"/>
    <w:rsid w:val="00961F87"/>
    <w:rsid w:val="00964DD2"/>
    <w:rsid w:val="0096516F"/>
    <w:rsid w:val="0097010B"/>
    <w:rsid w:val="009724B7"/>
    <w:rsid w:val="009735DC"/>
    <w:rsid w:val="00973939"/>
    <w:rsid w:val="00974A33"/>
    <w:rsid w:val="00976BFF"/>
    <w:rsid w:val="009771C2"/>
    <w:rsid w:val="009827D7"/>
    <w:rsid w:val="00983428"/>
    <w:rsid w:val="0098467A"/>
    <w:rsid w:val="00986063"/>
    <w:rsid w:val="00986F06"/>
    <w:rsid w:val="00987438"/>
    <w:rsid w:val="0098768D"/>
    <w:rsid w:val="00991F22"/>
    <w:rsid w:val="0099231F"/>
    <w:rsid w:val="00995512"/>
    <w:rsid w:val="00995A8D"/>
    <w:rsid w:val="00995BE4"/>
    <w:rsid w:val="00996BD9"/>
    <w:rsid w:val="00997C56"/>
    <w:rsid w:val="009A00A2"/>
    <w:rsid w:val="009A2758"/>
    <w:rsid w:val="009A34F9"/>
    <w:rsid w:val="009A4707"/>
    <w:rsid w:val="009A6E33"/>
    <w:rsid w:val="009A7843"/>
    <w:rsid w:val="009B18A6"/>
    <w:rsid w:val="009B2F35"/>
    <w:rsid w:val="009B2F42"/>
    <w:rsid w:val="009B3209"/>
    <w:rsid w:val="009B3345"/>
    <w:rsid w:val="009B35AE"/>
    <w:rsid w:val="009B571E"/>
    <w:rsid w:val="009B70C9"/>
    <w:rsid w:val="009B7271"/>
    <w:rsid w:val="009B74C9"/>
    <w:rsid w:val="009B7DDD"/>
    <w:rsid w:val="009C139C"/>
    <w:rsid w:val="009C1C2D"/>
    <w:rsid w:val="009C2182"/>
    <w:rsid w:val="009C2925"/>
    <w:rsid w:val="009C3FAE"/>
    <w:rsid w:val="009C5B37"/>
    <w:rsid w:val="009D1919"/>
    <w:rsid w:val="009D495D"/>
    <w:rsid w:val="009D5B6A"/>
    <w:rsid w:val="009D6846"/>
    <w:rsid w:val="009D6FF0"/>
    <w:rsid w:val="009E0239"/>
    <w:rsid w:val="009E0449"/>
    <w:rsid w:val="009E0B9C"/>
    <w:rsid w:val="009E2316"/>
    <w:rsid w:val="009E3AAF"/>
    <w:rsid w:val="009E6E74"/>
    <w:rsid w:val="009E7928"/>
    <w:rsid w:val="009F0089"/>
    <w:rsid w:val="009F0F89"/>
    <w:rsid w:val="009F1B16"/>
    <w:rsid w:val="009F1CE5"/>
    <w:rsid w:val="009F2D3A"/>
    <w:rsid w:val="009F560A"/>
    <w:rsid w:val="009F7599"/>
    <w:rsid w:val="00A000FE"/>
    <w:rsid w:val="00A01E53"/>
    <w:rsid w:val="00A03088"/>
    <w:rsid w:val="00A0310D"/>
    <w:rsid w:val="00A03CEB"/>
    <w:rsid w:val="00A0532C"/>
    <w:rsid w:val="00A05B68"/>
    <w:rsid w:val="00A06376"/>
    <w:rsid w:val="00A119D0"/>
    <w:rsid w:val="00A1445A"/>
    <w:rsid w:val="00A1506C"/>
    <w:rsid w:val="00A15C76"/>
    <w:rsid w:val="00A15EAC"/>
    <w:rsid w:val="00A17437"/>
    <w:rsid w:val="00A202F6"/>
    <w:rsid w:val="00A206C2"/>
    <w:rsid w:val="00A20788"/>
    <w:rsid w:val="00A20C9B"/>
    <w:rsid w:val="00A21A27"/>
    <w:rsid w:val="00A2202F"/>
    <w:rsid w:val="00A2209F"/>
    <w:rsid w:val="00A22E83"/>
    <w:rsid w:val="00A340E8"/>
    <w:rsid w:val="00A351C8"/>
    <w:rsid w:val="00A370D7"/>
    <w:rsid w:val="00A3791C"/>
    <w:rsid w:val="00A41A3D"/>
    <w:rsid w:val="00A41CF4"/>
    <w:rsid w:val="00A438F9"/>
    <w:rsid w:val="00A43E54"/>
    <w:rsid w:val="00A4560A"/>
    <w:rsid w:val="00A45CB4"/>
    <w:rsid w:val="00A4645C"/>
    <w:rsid w:val="00A466C1"/>
    <w:rsid w:val="00A4737C"/>
    <w:rsid w:val="00A501D2"/>
    <w:rsid w:val="00A503CB"/>
    <w:rsid w:val="00A53A1E"/>
    <w:rsid w:val="00A54837"/>
    <w:rsid w:val="00A5545B"/>
    <w:rsid w:val="00A562AD"/>
    <w:rsid w:val="00A562D4"/>
    <w:rsid w:val="00A578DE"/>
    <w:rsid w:val="00A61BCA"/>
    <w:rsid w:val="00A63E45"/>
    <w:rsid w:val="00A64852"/>
    <w:rsid w:val="00A64ABB"/>
    <w:rsid w:val="00A65A9A"/>
    <w:rsid w:val="00A66E5E"/>
    <w:rsid w:val="00A7699C"/>
    <w:rsid w:val="00A80476"/>
    <w:rsid w:val="00A80595"/>
    <w:rsid w:val="00A81279"/>
    <w:rsid w:val="00A82739"/>
    <w:rsid w:val="00A8379E"/>
    <w:rsid w:val="00A837AF"/>
    <w:rsid w:val="00A837E6"/>
    <w:rsid w:val="00A84B4D"/>
    <w:rsid w:val="00A84C10"/>
    <w:rsid w:val="00A85BC2"/>
    <w:rsid w:val="00A862C4"/>
    <w:rsid w:val="00A90032"/>
    <w:rsid w:val="00A90A03"/>
    <w:rsid w:val="00A927BC"/>
    <w:rsid w:val="00A9404B"/>
    <w:rsid w:val="00A943BF"/>
    <w:rsid w:val="00A9469E"/>
    <w:rsid w:val="00A968DB"/>
    <w:rsid w:val="00AA0BD2"/>
    <w:rsid w:val="00AA1969"/>
    <w:rsid w:val="00AA1FC3"/>
    <w:rsid w:val="00AA3587"/>
    <w:rsid w:val="00AA3DBB"/>
    <w:rsid w:val="00AA67C8"/>
    <w:rsid w:val="00AA7B43"/>
    <w:rsid w:val="00AB02C6"/>
    <w:rsid w:val="00AB0300"/>
    <w:rsid w:val="00AB09A7"/>
    <w:rsid w:val="00AB0CFE"/>
    <w:rsid w:val="00AB34CA"/>
    <w:rsid w:val="00AB38ED"/>
    <w:rsid w:val="00AB3A5C"/>
    <w:rsid w:val="00AB3DA3"/>
    <w:rsid w:val="00AB4A92"/>
    <w:rsid w:val="00AC0762"/>
    <w:rsid w:val="00AC1F71"/>
    <w:rsid w:val="00AC3ABE"/>
    <w:rsid w:val="00AC5417"/>
    <w:rsid w:val="00AC587C"/>
    <w:rsid w:val="00AC652A"/>
    <w:rsid w:val="00AC72E6"/>
    <w:rsid w:val="00AD0657"/>
    <w:rsid w:val="00AD1E6E"/>
    <w:rsid w:val="00AD29C2"/>
    <w:rsid w:val="00AD3B7E"/>
    <w:rsid w:val="00AD6790"/>
    <w:rsid w:val="00AD6AE0"/>
    <w:rsid w:val="00AD6E63"/>
    <w:rsid w:val="00AE336E"/>
    <w:rsid w:val="00AE487C"/>
    <w:rsid w:val="00AE7216"/>
    <w:rsid w:val="00AE76AB"/>
    <w:rsid w:val="00AE7AFB"/>
    <w:rsid w:val="00AF38D1"/>
    <w:rsid w:val="00AF5511"/>
    <w:rsid w:val="00AF6BBA"/>
    <w:rsid w:val="00AF7FD9"/>
    <w:rsid w:val="00B03A83"/>
    <w:rsid w:val="00B04ABB"/>
    <w:rsid w:val="00B075A7"/>
    <w:rsid w:val="00B120AD"/>
    <w:rsid w:val="00B148AD"/>
    <w:rsid w:val="00B158A0"/>
    <w:rsid w:val="00B159D5"/>
    <w:rsid w:val="00B15BD7"/>
    <w:rsid w:val="00B17667"/>
    <w:rsid w:val="00B17BD6"/>
    <w:rsid w:val="00B17DE3"/>
    <w:rsid w:val="00B20766"/>
    <w:rsid w:val="00B20C87"/>
    <w:rsid w:val="00B2195A"/>
    <w:rsid w:val="00B222AE"/>
    <w:rsid w:val="00B246EC"/>
    <w:rsid w:val="00B2545D"/>
    <w:rsid w:val="00B275A0"/>
    <w:rsid w:val="00B275B1"/>
    <w:rsid w:val="00B3013A"/>
    <w:rsid w:val="00B3091E"/>
    <w:rsid w:val="00B342BE"/>
    <w:rsid w:val="00B3682B"/>
    <w:rsid w:val="00B36A94"/>
    <w:rsid w:val="00B405E2"/>
    <w:rsid w:val="00B40BD3"/>
    <w:rsid w:val="00B41DC7"/>
    <w:rsid w:val="00B43D4B"/>
    <w:rsid w:val="00B457F9"/>
    <w:rsid w:val="00B47CDA"/>
    <w:rsid w:val="00B50030"/>
    <w:rsid w:val="00B5215A"/>
    <w:rsid w:val="00B52D79"/>
    <w:rsid w:val="00B53BF3"/>
    <w:rsid w:val="00B5589E"/>
    <w:rsid w:val="00B573AA"/>
    <w:rsid w:val="00B5794B"/>
    <w:rsid w:val="00B61061"/>
    <w:rsid w:val="00B617A7"/>
    <w:rsid w:val="00B61ACA"/>
    <w:rsid w:val="00B6219B"/>
    <w:rsid w:val="00B70658"/>
    <w:rsid w:val="00B70C78"/>
    <w:rsid w:val="00B7210E"/>
    <w:rsid w:val="00B7467D"/>
    <w:rsid w:val="00B76956"/>
    <w:rsid w:val="00B77BCA"/>
    <w:rsid w:val="00B80A1E"/>
    <w:rsid w:val="00B80C26"/>
    <w:rsid w:val="00B81A6A"/>
    <w:rsid w:val="00B82BD8"/>
    <w:rsid w:val="00B84C83"/>
    <w:rsid w:val="00B871B2"/>
    <w:rsid w:val="00B87D6C"/>
    <w:rsid w:val="00B901DC"/>
    <w:rsid w:val="00B90558"/>
    <w:rsid w:val="00B93687"/>
    <w:rsid w:val="00B9549F"/>
    <w:rsid w:val="00B96EE8"/>
    <w:rsid w:val="00B97605"/>
    <w:rsid w:val="00B97D3A"/>
    <w:rsid w:val="00B97DB3"/>
    <w:rsid w:val="00BA0893"/>
    <w:rsid w:val="00BA2676"/>
    <w:rsid w:val="00BA4523"/>
    <w:rsid w:val="00BA477F"/>
    <w:rsid w:val="00BA5A2E"/>
    <w:rsid w:val="00BA5D59"/>
    <w:rsid w:val="00BA7233"/>
    <w:rsid w:val="00BA7278"/>
    <w:rsid w:val="00BA74A8"/>
    <w:rsid w:val="00BB12D4"/>
    <w:rsid w:val="00BB3B70"/>
    <w:rsid w:val="00BB3FC9"/>
    <w:rsid w:val="00BB455C"/>
    <w:rsid w:val="00BB4D4D"/>
    <w:rsid w:val="00BB4E7E"/>
    <w:rsid w:val="00BB4EA5"/>
    <w:rsid w:val="00BB6C61"/>
    <w:rsid w:val="00BB6E5D"/>
    <w:rsid w:val="00BB7AA6"/>
    <w:rsid w:val="00BC0655"/>
    <w:rsid w:val="00BC06A3"/>
    <w:rsid w:val="00BC0F6C"/>
    <w:rsid w:val="00BC28D5"/>
    <w:rsid w:val="00BC4B0F"/>
    <w:rsid w:val="00BC4EFD"/>
    <w:rsid w:val="00BC579F"/>
    <w:rsid w:val="00BC5C08"/>
    <w:rsid w:val="00BC692A"/>
    <w:rsid w:val="00BD0E2A"/>
    <w:rsid w:val="00BD24E9"/>
    <w:rsid w:val="00BD279F"/>
    <w:rsid w:val="00BD413E"/>
    <w:rsid w:val="00BD4A8A"/>
    <w:rsid w:val="00BD4F40"/>
    <w:rsid w:val="00BD73B6"/>
    <w:rsid w:val="00BE1B92"/>
    <w:rsid w:val="00BE218A"/>
    <w:rsid w:val="00BE2D58"/>
    <w:rsid w:val="00BE2E6F"/>
    <w:rsid w:val="00BE32DF"/>
    <w:rsid w:val="00BE3D12"/>
    <w:rsid w:val="00BE5D34"/>
    <w:rsid w:val="00BF126F"/>
    <w:rsid w:val="00BF18D5"/>
    <w:rsid w:val="00BF254E"/>
    <w:rsid w:val="00BF5CBB"/>
    <w:rsid w:val="00C00648"/>
    <w:rsid w:val="00C0385C"/>
    <w:rsid w:val="00C05AC3"/>
    <w:rsid w:val="00C05E0B"/>
    <w:rsid w:val="00C11336"/>
    <w:rsid w:val="00C12B89"/>
    <w:rsid w:val="00C15091"/>
    <w:rsid w:val="00C15A07"/>
    <w:rsid w:val="00C205CB"/>
    <w:rsid w:val="00C2066B"/>
    <w:rsid w:val="00C20854"/>
    <w:rsid w:val="00C20B25"/>
    <w:rsid w:val="00C20C71"/>
    <w:rsid w:val="00C21430"/>
    <w:rsid w:val="00C23150"/>
    <w:rsid w:val="00C23336"/>
    <w:rsid w:val="00C240F4"/>
    <w:rsid w:val="00C2667B"/>
    <w:rsid w:val="00C269F3"/>
    <w:rsid w:val="00C2745B"/>
    <w:rsid w:val="00C27F17"/>
    <w:rsid w:val="00C3007D"/>
    <w:rsid w:val="00C3109C"/>
    <w:rsid w:val="00C317E8"/>
    <w:rsid w:val="00C32082"/>
    <w:rsid w:val="00C329E9"/>
    <w:rsid w:val="00C336B6"/>
    <w:rsid w:val="00C3542F"/>
    <w:rsid w:val="00C35F33"/>
    <w:rsid w:val="00C35FAC"/>
    <w:rsid w:val="00C4045C"/>
    <w:rsid w:val="00C420BB"/>
    <w:rsid w:val="00C42679"/>
    <w:rsid w:val="00C433D9"/>
    <w:rsid w:val="00C446DE"/>
    <w:rsid w:val="00C45FC1"/>
    <w:rsid w:val="00C46772"/>
    <w:rsid w:val="00C50070"/>
    <w:rsid w:val="00C51371"/>
    <w:rsid w:val="00C541F4"/>
    <w:rsid w:val="00C56425"/>
    <w:rsid w:val="00C6030A"/>
    <w:rsid w:val="00C607BC"/>
    <w:rsid w:val="00C609A5"/>
    <w:rsid w:val="00C60C3C"/>
    <w:rsid w:val="00C613A1"/>
    <w:rsid w:val="00C62593"/>
    <w:rsid w:val="00C6260C"/>
    <w:rsid w:val="00C63181"/>
    <w:rsid w:val="00C64F43"/>
    <w:rsid w:val="00C654E1"/>
    <w:rsid w:val="00C655DC"/>
    <w:rsid w:val="00C65A7A"/>
    <w:rsid w:val="00C65BDA"/>
    <w:rsid w:val="00C675F3"/>
    <w:rsid w:val="00C67616"/>
    <w:rsid w:val="00C67EE4"/>
    <w:rsid w:val="00C73154"/>
    <w:rsid w:val="00C73445"/>
    <w:rsid w:val="00C74139"/>
    <w:rsid w:val="00C75B3D"/>
    <w:rsid w:val="00C76355"/>
    <w:rsid w:val="00C7654F"/>
    <w:rsid w:val="00C76E38"/>
    <w:rsid w:val="00C80B79"/>
    <w:rsid w:val="00C80DC2"/>
    <w:rsid w:val="00C80F9E"/>
    <w:rsid w:val="00C81365"/>
    <w:rsid w:val="00C84FE3"/>
    <w:rsid w:val="00C86728"/>
    <w:rsid w:val="00C86B5C"/>
    <w:rsid w:val="00C8707D"/>
    <w:rsid w:val="00C91367"/>
    <w:rsid w:val="00C940FA"/>
    <w:rsid w:val="00C952B3"/>
    <w:rsid w:val="00C9704B"/>
    <w:rsid w:val="00CA18DB"/>
    <w:rsid w:val="00CA39D6"/>
    <w:rsid w:val="00CA3DF3"/>
    <w:rsid w:val="00CA4E31"/>
    <w:rsid w:val="00CA7AB7"/>
    <w:rsid w:val="00CB0044"/>
    <w:rsid w:val="00CB2042"/>
    <w:rsid w:val="00CB212D"/>
    <w:rsid w:val="00CB2311"/>
    <w:rsid w:val="00CB4973"/>
    <w:rsid w:val="00CB7805"/>
    <w:rsid w:val="00CC3255"/>
    <w:rsid w:val="00CC6DB0"/>
    <w:rsid w:val="00CD262C"/>
    <w:rsid w:val="00CD39E5"/>
    <w:rsid w:val="00CD3AE9"/>
    <w:rsid w:val="00CD40AA"/>
    <w:rsid w:val="00CD4E12"/>
    <w:rsid w:val="00CD4F29"/>
    <w:rsid w:val="00CD6A24"/>
    <w:rsid w:val="00CE1A4A"/>
    <w:rsid w:val="00CE1B82"/>
    <w:rsid w:val="00CE1BFB"/>
    <w:rsid w:val="00CE2604"/>
    <w:rsid w:val="00CE2D05"/>
    <w:rsid w:val="00CE37A4"/>
    <w:rsid w:val="00CE4E99"/>
    <w:rsid w:val="00CE5D40"/>
    <w:rsid w:val="00CF04F8"/>
    <w:rsid w:val="00CF21CC"/>
    <w:rsid w:val="00CF52CC"/>
    <w:rsid w:val="00CF5745"/>
    <w:rsid w:val="00CF74FE"/>
    <w:rsid w:val="00D009E7"/>
    <w:rsid w:val="00D00CA7"/>
    <w:rsid w:val="00D00F6C"/>
    <w:rsid w:val="00D011B4"/>
    <w:rsid w:val="00D0135A"/>
    <w:rsid w:val="00D01361"/>
    <w:rsid w:val="00D01572"/>
    <w:rsid w:val="00D018D4"/>
    <w:rsid w:val="00D024F5"/>
    <w:rsid w:val="00D050E1"/>
    <w:rsid w:val="00D05CD8"/>
    <w:rsid w:val="00D06084"/>
    <w:rsid w:val="00D120BC"/>
    <w:rsid w:val="00D128EB"/>
    <w:rsid w:val="00D12D6F"/>
    <w:rsid w:val="00D12FE2"/>
    <w:rsid w:val="00D13186"/>
    <w:rsid w:val="00D2027D"/>
    <w:rsid w:val="00D21242"/>
    <w:rsid w:val="00D21523"/>
    <w:rsid w:val="00D2251C"/>
    <w:rsid w:val="00D22DCC"/>
    <w:rsid w:val="00D25B89"/>
    <w:rsid w:val="00D27BD0"/>
    <w:rsid w:val="00D30A82"/>
    <w:rsid w:val="00D3119D"/>
    <w:rsid w:val="00D32181"/>
    <w:rsid w:val="00D321D5"/>
    <w:rsid w:val="00D3366C"/>
    <w:rsid w:val="00D33DBA"/>
    <w:rsid w:val="00D36228"/>
    <w:rsid w:val="00D40969"/>
    <w:rsid w:val="00D40AD3"/>
    <w:rsid w:val="00D423DB"/>
    <w:rsid w:val="00D45AB6"/>
    <w:rsid w:val="00D47251"/>
    <w:rsid w:val="00D506F8"/>
    <w:rsid w:val="00D5152F"/>
    <w:rsid w:val="00D529EE"/>
    <w:rsid w:val="00D53EAF"/>
    <w:rsid w:val="00D5489B"/>
    <w:rsid w:val="00D549DD"/>
    <w:rsid w:val="00D553CA"/>
    <w:rsid w:val="00D56214"/>
    <w:rsid w:val="00D567E6"/>
    <w:rsid w:val="00D60F69"/>
    <w:rsid w:val="00D62454"/>
    <w:rsid w:val="00D62DBD"/>
    <w:rsid w:val="00D64E7C"/>
    <w:rsid w:val="00D70FCB"/>
    <w:rsid w:val="00D71B63"/>
    <w:rsid w:val="00D72047"/>
    <w:rsid w:val="00D73B8D"/>
    <w:rsid w:val="00D74A2D"/>
    <w:rsid w:val="00D75D72"/>
    <w:rsid w:val="00D76352"/>
    <w:rsid w:val="00D801F7"/>
    <w:rsid w:val="00D81384"/>
    <w:rsid w:val="00D81BDC"/>
    <w:rsid w:val="00D81D24"/>
    <w:rsid w:val="00D8376B"/>
    <w:rsid w:val="00D83C76"/>
    <w:rsid w:val="00D84662"/>
    <w:rsid w:val="00D84B6E"/>
    <w:rsid w:val="00D84E84"/>
    <w:rsid w:val="00D9614C"/>
    <w:rsid w:val="00D96CB0"/>
    <w:rsid w:val="00DA0FD8"/>
    <w:rsid w:val="00DA2B66"/>
    <w:rsid w:val="00DA32ED"/>
    <w:rsid w:val="00DA3EA9"/>
    <w:rsid w:val="00DA4948"/>
    <w:rsid w:val="00DA4B06"/>
    <w:rsid w:val="00DA6B7A"/>
    <w:rsid w:val="00DA6E9C"/>
    <w:rsid w:val="00DA7755"/>
    <w:rsid w:val="00DA7A45"/>
    <w:rsid w:val="00DB0550"/>
    <w:rsid w:val="00DB09CB"/>
    <w:rsid w:val="00DB10C7"/>
    <w:rsid w:val="00DB10EA"/>
    <w:rsid w:val="00DB2715"/>
    <w:rsid w:val="00DB5C43"/>
    <w:rsid w:val="00DB5D65"/>
    <w:rsid w:val="00DB6C18"/>
    <w:rsid w:val="00DC1702"/>
    <w:rsid w:val="00DC3D45"/>
    <w:rsid w:val="00DC57F8"/>
    <w:rsid w:val="00DC6327"/>
    <w:rsid w:val="00DC6A36"/>
    <w:rsid w:val="00DC7032"/>
    <w:rsid w:val="00DC76C4"/>
    <w:rsid w:val="00DD3D17"/>
    <w:rsid w:val="00DD3DA4"/>
    <w:rsid w:val="00DD40CD"/>
    <w:rsid w:val="00DD54B3"/>
    <w:rsid w:val="00DD58A0"/>
    <w:rsid w:val="00DD63EA"/>
    <w:rsid w:val="00DD7E51"/>
    <w:rsid w:val="00DE065A"/>
    <w:rsid w:val="00DE117A"/>
    <w:rsid w:val="00DE1AC0"/>
    <w:rsid w:val="00DE2E05"/>
    <w:rsid w:val="00DE3FB1"/>
    <w:rsid w:val="00DE6247"/>
    <w:rsid w:val="00DE6EE2"/>
    <w:rsid w:val="00DF076A"/>
    <w:rsid w:val="00DF0926"/>
    <w:rsid w:val="00DF0FFE"/>
    <w:rsid w:val="00DF1579"/>
    <w:rsid w:val="00DF15F4"/>
    <w:rsid w:val="00DF1ED3"/>
    <w:rsid w:val="00DF2322"/>
    <w:rsid w:val="00DF4077"/>
    <w:rsid w:val="00DF4152"/>
    <w:rsid w:val="00DF5665"/>
    <w:rsid w:val="00DF6D3D"/>
    <w:rsid w:val="00E0085F"/>
    <w:rsid w:val="00E00BBF"/>
    <w:rsid w:val="00E01185"/>
    <w:rsid w:val="00E04128"/>
    <w:rsid w:val="00E0461E"/>
    <w:rsid w:val="00E04DAA"/>
    <w:rsid w:val="00E0571A"/>
    <w:rsid w:val="00E0615B"/>
    <w:rsid w:val="00E1239C"/>
    <w:rsid w:val="00E1483B"/>
    <w:rsid w:val="00E14A47"/>
    <w:rsid w:val="00E15BAF"/>
    <w:rsid w:val="00E16D38"/>
    <w:rsid w:val="00E2012D"/>
    <w:rsid w:val="00E214DE"/>
    <w:rsid w:val="00E2180D"/>
    <w:rsid w:val="00E2205F"/>
    <w:rsid w:val="00E22630"/>
    <w:rsid w:val="00E23DDC"/>
    <w:rsid w:val="00E25C78"/>
    <w:rsid w:val="00E2613D"/>
    <w:rsid w:val="00E26B0D"/>
    <w:rsid w:val="00E301CA"/>
    <w:rsid w:val="00E303A7"/>
    <w:rsid w:val="00E3086C"/>
    <w:rsid w:val="00E30D68"/>
    <w:rsid w:val="00E33242"/>
    <w:rsid w:val="00E34299"/>
    <w:rsid w:val="00E35658"/>
    <w:rsid w:val="00E35FA9"/>
    <w:rsid w:val="00E37968"/>
    <w:rsid w:val="00E40DBB"/>
    <w:rsid w:val="00E42997"/>
    <w:rsid w:val="00E44B25"/>
    <w:rsid w:val="00E467CB"/>
    <w:rsid w:val="00E46D32"/>
    <w:rsid w:val="00E509FF"/>
    <w:rsid w:val="00E51A76"/>
    <w:rsid w:val="00E522E8"/>
    <w:rsid w:val="00E52672"/>
    <w:rsid w:val="00E5347D"/>
    <w:rsid w:val="00E55BA4"/>
    <w:rsid w:val="00E56502"/>
    <w:rsid w:val="00E5738C"/>
    <w:rsid w:val="00E6202A"/>
    <w:rsid w:val="00E65171"/>
    <w:rsid w:val="00E659F1"/>
    <w:rsid w:val="00E66AA3"/>
    <w:rsid w:val="00E67AD9"/>
    <w:rsid w:val="00E701D3"/>
    <w:rsid w:val="00E73129"/>
    <w:rsid w:val="00E738D1"/>
    <w:rsid w:val="00E73FD4"/>
    <w:rsid w:val="00E742FB"/>
    <w:rsid w:val="00E750A0"/>
    <w:rsid w:val="00E7789A"/>
    <w:rsid w:val="00E81234"/>
    <w:rsid w:val="00E8191D"/>
    <w:rsid w:val="00E81F1E"/>
    <w:rsid w:val="00E81F54"/>
    <w:rsid w:val="00E839C1"/>
    <w:rsid w:val="00E83F3E"/>
    <w:rsid w:val="00E85A8C"/>
    <w:rsid w:val="00E90C1D"/>
    <w:rsid w:val="00E90E90"/>
    <w:rsid w:val="00E90F69"/>
    <w:rsid w:val="00E91665"/>
    <w:rsid w:val="00E9181B"/>
    <w:rsid w:val="00E92363"/>
    <w:rsid w:val="00E940F5"/>
    <w:rsid w:val="00E9413F"/>
    <w:rsid w:val="00E94A58"/>
    <w:rsid w:val="00EA14F3"/>
    <w:rsid w:val="00EA2550"/>
    <w:rsid w:val="00EA2732"/>
    <w:rsid w:val="00EA3831"/>
    <w:rsid w:val="00EA56D7"/>
    <w:rsid w:val="00EB17B0"/>
    <w:rsid w:val="00EB4EB0"/>
    <w:rsid w:val="00EB69BE"/>
    <w:rsid w:val="00EB77CC"/>
    <w:rsid w:val="00EC01DE"/>
    <w:rsid w:val="00EC1CF7"/>
    <w:rsid w:val="00EC1FCA"/>
    <w:rsid w:val="00EC287C"/>
    <w:rsid w:val="00EC56CA"/>
    <w:rsid w:val="00EC70DB"/>
    <w:rsid w:val="00EC7CAD"/>
    <w:rsid w:val="00ED045D"/>
    <w:rsid w:val="00ED0E44"/>
    <w:rsid w:val="00ED24B9"/>
    <w:rsid w:val="00ED5059"/>
    <w:rsid w:val="00ED52D5"/>
    <w:rsid w:val="00ED72E3"/>
    <w:rsid w:val="00EE0E3E"/>
    <w:rsid w:val="00EE2D35"/>
    <w:rsid w:val="00EE4670"/>
    <w:rsid w:val="00EE4F41"/>
    <w:rsid w:val="00EE69C4"/>
    <w:rsid w:val="00EE737F"/>
    <w:rsid w:val="00EF16C6"/>
    <w:rsid w:val="00EF51C0"/>
    <w:rsid w:val="00EF5B6F"/>
    <w:rsid w:val="00EF7617"/>
    <w:rsid w:val="00F00F9E"/>
    <w:rsid w:val="00F061F3"/>
    <w:rsid w:val="00F071B9"/>
    <w:rsid w:val="00F0774B"/>
    <w:rsid w:val="00F10AE5"/>
    <w:rsid w:val="00F10D1E"/>
    <w:rsid w:val="00F11C55"/>
    <w:rsid w:val="00F14B77"/>
    <w:rsid w:val="00F153ED"/>
    <w:rsid w:val="00F16756"/>
    <w:rsid w:val="00F172D5"/>
    <w:rsid w:val="00F219E5"/>
    <w:rsid w:val="00F22437"/>
    <w:rsid w:val="00F229E1"/>
    <w:rsid w:val="00F22C15"/>
    <w:rsid w:val="00F23061"/>
    <w:rsid w:val="00F2715E"/>
    <w:rsid w:val="00F277CA"/>
    <w:rsid w:val="00F27C37"/>
    <w:rsid w:val="00F30D73"/>
    <w:rsid w:val="00F32634"/>
    <w:rsid w:val="00F32A7C"/>
    <w:rsid w:val="00F3390A"/>
    <w:rsid w:val="00F355F1"/>
    <w:rsid w:val="00F36992"/>
    <w:rsid w:val="00F419F2"/>
    <w:rsid w:val="00F42519"/>
    <w:rsid w:val="00F42CFD"/>
    <w:rsid w:val="00F43A66"/>
    <w:rsid w:val="00F44149"/>
    <w:rsid w:val="00F45E89"/>
    <w:rsid w:val="00F46295"/>
    <w:rsid w:val="00F463AC"/>
    <w:rsid w:val="00F47E81"/>
    <w:rsid w:val="00F509DE"/>
    <w:rsid w:val="00F51C0B"/>
    <w:rsid w:val="00F529E0"/>
    <w:rsid w:val="00F52F4D"/>
    <w:rsid w:val="00F6024B"/>
    <w:rsid w:val="00F63278"/>
    <w:rsid w:val="00F64365"/>
    <w:rsid w:val="00F671FB"/>
    <w:rsid w:val="00F67AD8"/>
    <w:rsid w:val="00F71006"/>
    <w:rsid w:val="00F71D98"/>
    <w:rsid w:val="00F75C7B"/>
    <w:rsid w:val="00F76CBD"/>
    <w:rsid w:val="00F778D4"/>
    <w:rsid w:val="00F77DB9"/>
    <w:rsid w:val="00F808D4"/>
    <w:rsid w:val="00F830DD"/>
    <w:rsid w:val="00F83886"/>
    <w:rsid w:val="00F8473B"/>
    <w:rsid w:val="00F85309"/>
    <w:rsid w:val="00F85460"/>
    <w:rsid w:val="00F857BE"/>
    <w:rsid w:val="00F86271"/>
    <w:rsid w:val="00F911BC"/>
    <w:rsid w:val="00F9122E"/>
    <w:rsid w:val="00F936AA"/>
    <w:rsid w:val="00F93B56"/>
    <w:rsid w:val="00F93D1F"/>
    <w:rsid w:val="00F940B5"/>
    <w:rsid w:val="00F940D2"/>
    <w:rsid w:val="00F942FC"/>
    <w:rsid w:val="00F952FB"/>
    <w:rsid w:val="00F95489"/>
    <w:rsid w:val="00F9552D"/>
    <w:rsid w:val="00F95EEA"/>
    <w:rsid w:val="00F964C0"/>
    <w:rsid w:val="00F979F2"/>
    <w:rsid w:val="00FA15CE"/>
    <w:rsid w:val="00FA383D"/>
    <w:rsid w:val="00FA445C"/>
    <w:rsid w:val="00FA59FB"/>
    <w:rsid w:val="00FA7292"/>
    <w:rsid w:val="00FB21AB"/>
    <w:rsid w:val="00FB395F"/>
    <w:rsid w:val="00FB39E5"/>
    <w:rsid w:val="00FB4E8E"/>
    <w:rsid w:val="00FB7060"/>
    <w:rsid w:val="00FB784F"/>
    <w:rsid w:val="00FC06B5"/>
    <w:rsid w:val="00FC1BB9"/>
    <w:rsid w:val="00FC3539"/>
    <w:rsid w:val="00FC6E7D"/>
    <w:rsid w:val="00FC7648"/>
    <w:rsid w:val="00FD243E"/>
    <w:rsid w:val="00FD281F"/>
    <w:rsid w:val="00FD39E8"/>
    <w:rsid w:val="00FD5591"/>
    <w:rsid w:val="00FE1434"/>
    <w:rsid w:val="00FE2263"/>
    <w:rsid w:val="00FE31C5"/>
    <w:rsid w:val="00FE3351"/>
    <w:rsid w:val="00FE3E2D"/>
    <w:rsid w:val="00FE6C05"/>
    <w:rsid w:val="00FF0D11"/>
    <w:rsid w:val="00FF1865"/>
    <w:rsid w:val="00FF21D1"/>
    <w:rsid w:val="00FF305F"/>
    <w:rsid w:val="00FF62B3"/>
    <w:rsid w:val="00FF7221"/>
    <w:rsid w:val="00FF7254"/>
    <w:rsid w:val="012C1F58"/>
    <w:rsid w:val="014D171A"/>
    <w:rsid w:val="01ED0FA9"/>
    <w:rsid w:val="02155FCD"/>
    <w:rsid w:val="021855F1"/>
    <w:rsid w:val="02D04828"/>
    <w:rsid w:val="0361265C"/>
    <w:rsid w:val="04460CB5"/>
    <w:rsid w:val="045B70AB"/>
    <w:rsid w:val="06556C23"/>
    <w:rsid w:val="067803E8"/>
    <w:rsid w:val="079A2C82"/>
    <w:rsid w:val="07D223B4"/>
    <w:rsid w:val="07DC776D"/>
    <w:rsid w:val="092803F8"/>
    <w:rsid w:val="093A41AD"/>
    <w:rsid w:val="0A130687"/>
    <w:rsid w:val="0A591688"/>
    <w:rsid w:val="0B17723C"/>
    <w:rsid w:val="0C546B6A"/>
    <w:rsid w:val="0C683B8F"/>
    <w:rsid w:val="0CA51CF8"/>
    <w:rsid w:val="0CB2208C"/>
    <w:rsid w:val="0CC021A1"/>
    <w:rsid w:val="0D97411B"/>
    <w:rsid w:val="0D9B0159"/>
    <w:rsid w:val="0DC12734"/>
    <w:rsid w:val="0DF06AB6"/>
    <w:rsid w:val="0EE21C9F"/>
    <w:rsid w:val="0F29227F"/>
    <w:rsid w:val="0F315FCD"/>
    <w:rsid w:val="0F59538A"/>
    <w:rsid w:val="0FA5788F"/>
    <w:rsid w:val="1053332C"/>
    <w:rsid w:val="10585140"/>
    <w:rsid w:val="107E2A9F"/>
    <w:rsid w:val="10E16730"/>
    <w:rsid w:val="1150254D"/>
    <w:rsid w:val="117276F4"/>
    <w:rsid w:val="12387A2B"/>
    <w:rsid w:val="12533BF7"/>
    <w:rsid w:val="13065BF3"/>
    <w:rsid w:val="142B6F13"/>
    <w:rsid w:val="14860F50"/>
    <w:rsid w:val="14ED5AB5"/>
    <w:rsid w:val="1552089B"/>
    <w:rsid w:val="15B01CC8"/>
    <w:rsid w:val="15DC4265"/>
    <w:rsid w:val="15FC3DEC"/>
    <w:rsid w:val="163A5719"/>
    <w:rsid w:val="168557DE"/>
    <w:rsid w:val="177A7FB9"/>
    <w:rsid w:val="18202369"/>
    <w:rsid w:val="18307C10"/>
    <w:rsid w:val="18AE37F5"/>
    <w:rsid w:val="18BB1233"/>
    <w:rsid w:val="18E37943"/>
    <w:rsid w:val="18F506A5"/>
    <w:rsid w:val="1939357D"/>
    <w:rsid w:val="195C1A3F"/>
    <w:rsid w:val="19770DE4"/>
    <w:rsid w:val="1A7433D6"/>
    <w:rsid w:val="1A8347E5"/>
    <w:rsid w:val="1B9A232F"/>
    <w:rsid w:val="1BA2328C"/>
    <w:rsid w:val="1BB60F7E"/>
    <w:rsid w:val="1BFB6628"/>
    <w:rsid w:val="1C8F620E"/>
    <w:rsid w:val="1DAB29BD"/>
    <w:rsid w:val="1F0459A3"/>
    <w:rsid w:val="1F202B20"/>
    <w:rsid w:val="20827A42"/>
    <w:rsid w:val="20CB53BA"/>
    <w:rsid w:val="21861620"/>
    <w:rsid w:val="21984CC5"/>
    <w:rsid w:val="21C04AF4"/>
    <w:rsid w:val="221B7FC9"/>
    <w:rsid w:val="22CD0F32"/>
    <w:rsid w:val="23321DC8"/>
    <w:rsid w:val="23C860B3"/>
    <w:rsid w:val="23EB165F"/>
    <w:rsid w:val="24012A75"/>
    <w:rsid w:val="243D527C"/>
    <w:rsid w:val="24EC7B7F"/>
    <w:rsid w:val="251E20C0"/>
    <w:rsid w:val="25724571"/>
    <w:rsid w:val="25DE1496"/>
    <w:rsid w:val="26937C64"/>
    <w:rsid w:val="270C69DB"/>
    <w:rsid w:val="27F517C2"/>
    <w:rsid w:val="28047E8C"/>
    <w:rsid w:val="28706D19"/>
    <w:rsid w:val="28EF42BE"/>
    <w:rsid w:val="293E0BC6"/>
    <w:rsid w:val="29931962"/>
    <w:rsid w:val="29F63110"/>
    <w:rsid w:val="2AB34D10"/>
    <w:rsid w:val="2AF85336"/>
    <w:rsid w:val="2B254913"/>
    <w:rsid w:val="2B2E091C"/>
    <w:rsid w:val="2B3E4EAD"/>
    <w:rsid w:val="2B7A3C88"/>
    <w:rsid w:val="2C772424"/>
    <w:rsid w:val="2DF66030"/>
    <w:rsid w:val="2E2E0121"/>
    <w:rsid w:val="2E87246A"/>
    <w:rsid w:val="2EC0667D"/>
    <w:rsid w:val="2F095A69"/>
    <w:rsid w:val="2F442FA2"/>
    <w:rsid w:val="2F8D6708"/>
    <w:rsid w:val="2FAD4A6C"/>
    <w:rsid w:val="2FC6265F"/>
    <w:rsid w:val="2FD21EF8"/>
    <w:rsid w:val="30A734F4"/>
    <w:rsid w:val="30B35797"/>
    <w:rsid w:val="31263E14"/>
    <w:rsid w:val="31950B78"/>
    <w:rsid w:val="31A40294"/>
    <w:rsid w:val="31A91CD4"/>
    <w:rsid w:val="31CC2C2C"/>
    <w:rsid w:val="321228B3"/>
    <w:rsid w:val="32750C38"/>
    <w:rsid w:val="3290701B"/>
    <w:rsid w:val="3293788C"/>
    <w:rsid w:val="32F368B7"/>
    <w:rsid w:val="331A7C15"/>
    <w:rsid w:val="3377170C"/>
    <w:rsid w:val="337D62B0"/>
    <w:rsid w:val="33AA3644"/>
    <w:rsid w:val="33F151B2"/>
    <w:rsid w:val="34D348B8"/>
    <w:rsid w:val="35062FC5"/>
    <w:rsid w:val="35A85A8E"/>
    <w:rsid w:val="35E13004"/>
    <w:rsid w:val="36A209E6"/>
    <w:rsid w:val="36BF4256"/>
    <w:rsid w:val="36E22340"/>
    <w:rsid w:val="37256E9E"/>
    <w:rsid w:val="37354FA5"/>
    <w:rsid w:val="375D0263"/>
    <w:rsid w:val="38032663"/>
    <w:rsid w:val="38211A3B"/>
    <w:rsid w:val="38324784"/>
    <w:rsid w:val="3907581A"/>
    <w:rsid w:val="395B7F72"/>
    <w:rsid w:val="396A3F46"/>
    <w:rsid w:val="396E4BAF"/>
    <w:rsid w:val="39953FBF"/>
    <w:rsid w:val="39BC4488"/>
    <w:rsid w:val="39DD3F4D"/>
    <w:rsid w:val="3A1F40FB"/>
    <w:rsid w:val="3B3F6AB0"/>
    <w:rsid w:val="3B5A7FE0"/>
    <w:rsid w:val="3BF55114"/>
    <w:rsid w:val="3BFB16A7"/>
    <w:rsid w:val="3C172143"/>
    <w:rsid w:val="3C3E127F"/>
    <w:rsid w:val="3C791588"/>
    <w:rsid w:val="3CCF4816"/>
    <w:rsid w:val="3CE765BA"/>
    <w:rsid w:val="3D1554AC"/>
    <w:rsid w:val="3D8557C8"/>
    <w:rsid w:val="3D904147"/>
    <w:rsid w:val="3DCF5D33"/>
    <w:rsid w:val="3EBF7C5B"/>
    <w:rsid w:val="3EE15E23"/>
    <w:rsid w:val="3FCE0156"/>
    <w:rsid w:val="3FE77358"/>
    <w:rsid w:val="3FF35D97"/>
    <w:rsid w:val="40640D26"/>
    <w:rsid w:val="40FA75B9"/>
    <w:rsid w:val="4166379B"/>
    <w:rsid w:val="417909DD"/>
    <w:rsid w:val="42296948"/>
    <w:rsid w:val="43141424"/>
    <w:rsid w:val="439A0308"/>
    <w:rsid w:val="43A44EE7"/>
    <w:rsid w:val="440A6F28"/>
    <w:rsid w:val="44626001"/>
    <w:rsid w:val="44EE28B2"/>
    <w:rsid w:val="45596713"/>
    <w:rsid w:val="45774ADC"/>
    <w:rsid w:val="458A67B5"/>
    <w:rsid w:val="45E01FC4"/>
    <w:rsid w:val="462C081D"/>
    <w:rsid w:val="464A7631"/>
    <w:rsid w:val="46FE0561"/>
    <w:rsid w:val="472541D0"/>
    <w:rsid w:val="476A1527"/>
    <w:rsid w:val="47D529D6"/>
    <w:rsid w:val="488512A7"/>
    <w:rsid w:val="48BD16AF"/>
    <w:rsid w:val="48C7530F"/>
    <w:rsid w:val="48E71087"/>
    <w:rsid w:val="49605B47"/>
    <w:rsid w:val="49685F4F"/>
    <w:rsid w:val="49751FB6"/>
    <w:rsid w:val="499E503D"/>
    <w:rsid w:val="4A240282"/>
    <w:rsid w:val="4A7465FF"/>
    <w:rsid w:val="4A7E1620"/>
    <w:rsid w:val="4A871EAB"/>
    <w:rsid w:val="4BB5398D"/>
    <w:rsid w:val="4BE551A5"/>
    <w:rsid w:val="4BEF1B80"/>
    <w:rsid w:val="4CFB6938"/>
    <w:rsid w:val="4D635959"/>
    <w:rsid w:val="4D8928EB"/>
    <w:rsid w:val="4D8C7EFF"/>
    <w:rsid w:val="4DCC58D9"/>
    <w:rsid w:val="4E4101EB"/>
    <w:rsid w:val="4E422279"/>
    <w:rsid w:val="4E8668FD"/>
    <w:rsid w:val="4E95688D"/>
    <w:rsid w:val="4EE230E4"/>
    <w:rsid w:val="4EE40B2A"/>
    <w:rsid w:val="4F9B12CC"/>
    <w:rsid w:val="50131BB5"/>
    <w:rsid w:val="503873F9"/>
    <w:rsid w:val="50F0052A"/>
    <w:rsid w:val="51202044"/>
    <w:rsid w:val="513A6EEC"/>
    <w:rsid w:val="528900C4"/>
    <w:rsid w:val="52D852D5"/>
    <w:rsid w:val="52DA3537"/>
    <w:rsid w:val="534F53CC"/>
    <w:rsid w:val="53AF1FAB"/>
    <w:rsid w:val="5415414D"/>
    <w:rsid w:val="543F44BB"/>
    <w:rsid w:val="54A33614"/>
    <w:rsid w:val="55524D23"/>
    <w:rsid w:val="55674DFB"/>
    <w:rsid w:val="56444391"/>
    <w:rsid w:val="56C963A1"/>
    <w:rsid w:val="5818202C"/>
    <w:rsid w:val="58744498"/>
    <w:rsid w:val="592D0836"/>
    <w:rsid w:val="592F3E54"/>
    <w:rsid w:val="59C77C98"/>
    <w:rsid w:val="59FA0F38"/>
    <w:rsid w:val="5A5453F1"/>
    <w:rsid w:val="5A753B98"/>
    <w:rsid w:val="5A9329C8"/>
    <w:rsid w:val="5AB03E28"/>
    <w:rsid w:val="5B412CCE"/>
    <w:rsid w:val="5B4A6A9E"/>
    <w:rsid w:val="5BBB2CE1"/>
    <w:rsid w:val="5CB23702"/>
    <w:rsid w:val="5D344817"/>
    <w:rsid w:val="5D4721C1"/>
    <w:rsid w:val="5D8C0D96"/>
    <w:rsid w:val="5E7F3237"/>
    <w:rsid w:val="5F60331B"/>
    <w:rsid w:val="60910DD5"/>
    <w:rsid w:val="60B760E6"/>
    <w:rsid w:val="610B5BDD"/>
    <w:rsid w:val="61584A90"/>
    <w:rsid w:val="616B251A"/>
    <w:rsid w:val="627D0FCB"/>
    <w:rsid w:val="62894684"/>
    <w:rsid w:val="62A709F0"/>
    <w:rsid w:val="634C20E9"/>
    <w:rsid w:val="63C91606"/>
    <w:rsid w:val="641B2B13"/>
    <w:rsid w:val="64253CB4"/>
    <w:rsid w:val="643972C8"/>
    <w:rsid w:val="64C179D9"/>
    <w:rsid w:val="658E682D"/>
    <w:rsid w:val="65AC58D0"/>
    <w:rsid w:val="65B06953"/>
    <w:rsid w:val="65B86565"/>
    <w:rsid w:val="65D36835"/>
    <w:rsid w:val="65D774B5"/>
    <w:rsid w:val="663736FE"/>
    <w:rsid w:val="664A36D2"/>
    <w:rsid w:val="6712451C"/>
    <w:rsid w:val="673B3A73"/>
    <w:rsid w:val="67547BF2"/>
    <w:rsid w:val="67A07D7A"/>
    <w:rsid w:val="6810103C"/>
    <w:rsid w:val="68671AAF"/>
    <w:rsid w:val="69054339"/>
    <w:rsid w:val="6C700663"/>
    <w:rsid w:val="6D396CA7"/>
    <w:rsid w:val="6D4D7BC0"/>
    <w:rsid w:val="6D741A8D"/>
    <w:rsid w:val="6E7361E8"/>
    <w:rsid w:val="6EC91913"/>
    <w:rsid w:val="6EEB2223"/>
    <w:rsid w:val="6F2E3EBD"/>
    <w:rsid w:val="6FCC7415"/>
    <w:rsid w:val="705B5186"/>
    <w:rsid w:val="705E74A3"/>
    <w:rsid w:val="708432A5"/>
    <w:rsid w:val="709A4AEA"/>
    <w:rsid w:val="715654D7"/>
    <w:rsid w:val="71BB1056"/>
    <w:rsid w:val="7213134D"/>
    <w:rsid w:val="721E4332"/>
    <w:rsid w:val="729C2764"/>
    <w:rsid w:val="72A3492F"/>
    <w:rsid w:val="739B4217"/>
    <w:rsid w:val="74A95934"/>
    <w:rsid w:val="74BC7137"/>
    <w:rsid w:val="75F30F81"/>
    <w:rsid w:val="76071BEE"/>
    <w:rsid w:val="760E6659"/>
    <w:rsid w:val="76611C4A"/>
    <w:rsid w:val="76886F22"/>
    <w:rsid w:val="7691546B"/>
    <w:rsid w:val="76D76BFB"/>
    <w:rsid w:val="773810C0"/>
    <w:rsid w:val="77476E15"/>
    <w:rsid w:val="77FC2054"/>
    <w:rsid w:val="784A0886"/>
    <w:rsid w:val="789D22A0"/>
    <w:rsid w:val="78B23BF4"/>
    <w:rsid w:val="78F652B4"/>
    <w:rsid w:val="790C0E25"/>
    <w:rsid w:val="798353BE"/>
    <w:rsid w:val="79884459"/>
    <w:rsid w:val="79BE7169"/>
    <w:rsid w:val="79E87A8A"/>
    <w:rsid w:val="7AC553C5"/>
    <w:rsid w:val="7B5D6D51"/>
    <w:rsid w:val="7BA45C33"/>
    <w:rsid w:val="7BB265B7"/>
    <w:rsid w:val="7BD302C6"/>
    <w:rsid w:val="7BE349AD"/>
    <w:rsid w:val="7C280971"/>
    <w:rsid w:val="7C2E56C3"/>
    <w:rsid w:val="7C594D0E"/>
    <w:rsid w:val="7CB36D36"/>
    <w:rsid w:val="7D1D3CEE"/>
    <w:rsid w:val="7D7A6DBC"/>
    <w:rsid w:val="7DEF1CBA"/>
    <w:rsid w:val="7E6650F5"/>
    <w:rsid w:val="7F3A5D19"/>
    <w:rsid w:val="7F8655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heme="minorBidi"/>
      <w:kern w:val="2"/>
      <w:sz w:val="24"/>
      <w:szCs w:val="22"/>
      <w:lang w:val="en-US" w:eastAsia="zh-CN" w:bidi="ar-SA"/>
    </w:rPr>
  </w:style>
  <w:style w:type="paragraph" w:styleId="3">
    <w:name w:val="heading 1"/>
    <w:basedOn w:val="1"/>
    <w:next w:val="1"/>
    <w:link w:val="32"/>
    <w:qFormat/>
    <w:uiPriority w:val="9"/>
    <w:pPr>
      <w:keepNext/>
      <w:keepLines/>
      <w:numPr>
        <w:ilvl w:val="0"/>
        <w:numId w:val="1"/>
      </w:numPr>
      <w:spacing w:before="120" w:after="120"/>
      <w:ind w:firstLineChars="0"/>
      <w:outlineLvl w:val="0"/>
    </w:pPr>
    <w:rPr>
      <w:b/>
      <w:bCs/>
      <w:kern w:val="44"/>
      <w:sz w:val="30"/>
      <w:szCs w:val="44"/>
    </w:rPr>
  </w:style>
  <w:style w:type="paragraph" w:styleId="4">
    <w:name w:val="heading 2"/>
    <w:basedOn w:val="1"/>
    <w:next w:val="1"/>
    <w:link w:val="33"/>
    <w:unhideWhenUsed/>
    <w:qFormat/>
    <w:uiPriority w:val="9"/>
    <w:pPr>
      <w:keepNext/>
      <w:keepLines/>
      <w:numPr>
        <w:ilvl w:val="1"/>
        <w:numId w:val="1"/>
      </w:numPr>
      <w:spacing w:before="120" w:after="120"/>
      <w:outlineLvl w:val="1"/>
    </w:pPr>
    <w:rPr>
      <w:rFonts w:cstheme="majorBidi"/>
      <w:b/>
      <w:bCs/>
      <w:sz w:val="28"/>
      <w:szCs w:val="32"/>
    </w:rPr>
  </w:style>
  <w:style w:type="paragraph" w:styleId="5">
    <w:name w:val="heading 3"/>
    <w:basedOn w:val="1"/>
    <w:next w:val="1"/>
    <w:link w:val="34"/>
    <w:unhideWhenUsed/>
    <w:qFormat/>
    <w:uiPriority w:val="9"/>
    <w:pPr>
      <w:keepNext/>
      <w:keepLines/>
      <w:numPr>
        <w:ilvl w:val="2"/>
        <w:numId w:val="1"/>
      </w:numPr>
      <w:spacing w:before="120" w:after="120"/>
      <w:ind w:left="0"/>
      <w:outlineLvl w:val="2"/>
    </w:pPr>
    <w:rPr>
      <w:b/>
      <w:bCs/>
      <w:szCs w:val="32"/>
    </w:rPr>
  </w:style>
  <w:style w:type="paragraph" w:styleId="6">
    <w:name w:val="heading 4"/>
    <w:next w:val="1"/>
    <w:link w:val="40"/>
    <w:unhideWhenUsed/>
    <w:qFormat/>
    <w:uiPriority w:val="9"/>
    <w:pPr>
      <w:keepNext/>
      <w:keepLines/>
      <w:numPr>
        <w:ilvl w:val="3"/>
        <w:numId w:val="1"/>
      </w:numPr>
      <w:spacing w:before="120" w:after="120" w:line="360" w:lineRule="auto"/>
      <w:outlineLvl w:val="3"/>
    </w:pPr>
    <w:rPr>
      <w:rFonts w:eastAsia="宋体" w:asciiTheme="minorHAnsi" w:hAnsiTheme="minorHAnsi" w:cstheme="majorBidi"/>
      <w:b/>
      <w:bCs/>
      <w:kern w:val="2"/>
      <w:sz w:val="24"/>
      <w:szCs w:val="28"/>
      <w:lang w:val="en-US" w:eastAsia="zh-CN" w:bidi="ar-SA"/>
    </w:rPr>
  </w:style>
  <w:style w:type="character" w:default="1" w:styleId="27">
    <w:name w:val="Default Paragraph Font"/>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customStyle="1" w:styleId="2">
    <w:name w:val="标题 211"/>
    <w:basedOn w:val="1"/>
    <w:next w:val="1"/>
    <w:unhideWhenUsed/>
    <w:qFormat/>
    <w:uiPriority w:val="9"/>
    <w:pPr>
      <w:keepNext/>
      <w:keepLines/>
      <w:spacing w:before="360" w:after="200"/>
      <w:outlineLvl w:val="1"/>
    </w:pPr>
    <w:rPr>
      <w:rFonts w:ascii="Arial" w:hAnsi="Arial" w:cs="Arial"/>
      <w:sz w:val="34"/>
      <w:szCs w:val="22"/>
    </w:rPr>
  </w:style>
  <w:style w:type="paragraph" w:styleId="7">
    <w:name w:val="table of authorities"/>
    <w:basedOn w:val="1"/>
    <w:next w:val="1"/>
    <w:qFormat/>
    <w:uiPriority w:val="0"/>
    <w:rPr>
      <w:rFonts w:ascii="Calibri" w:hAnsi="Calibri"/>
    </w:rPr>
  </w:style>
  <w:style w:type="paragraph" w:styleId="8">
    <w:name w:val="Normal Indent"/>
    <w:basedOn w:val="1"/>
    <w:next w:val="1"/>
    <w:qFormat/>
    <w:uiPriority w:val="0"/>
    <w:pPr>
      <w:ind w:firstLine="420"/>
    </w:pPr>
    <w:rPr>
      <w:szCs w:val="20"/>
    </w:rPr>
  </w:style>
  <w:style w:type="paragraph" w:styleId="9">
    <w:name w:val="Document Map"/>
    <w:basedOn w:val="1"/>
    <w:qFormat/>
    <w:uiPriority w:val="99"/>
    <w:pPr>
      <w:shd w:val="clear" w:color="auto" w:fill="000080"/>
    </w:pPr>
    <w:rPr>
      <w:sz w:val="21"/>
      <w:szCs w:val="21"/>
    </w:rPr>
  </w:style>
  <w:style w:type="paragraph" w:styleId="10">
    <w:name w:val="annotation text"/>
    <w:basedOn w:val="1"/>
    <w:link w:val="45"/>
    <w:semiHidden/>
    <w:unhideWhenUsed/>
    <w:qFormat/>
    <w:uiPriority w:val="99"/>
    <w:pPr>
      <w:jc w:val="left"/>
    </w:pPr>
  </w:style>
  <w:style w:type="paragraph" w:styleId="11">
    <w:name w:val="Body Text"/>
    <w:basedOn w:val="1"/>
    <w:next w:val="1"/>
    <w:link w:val="48"/>
    <w:unhideWhenUsed/>
    <w:qFormat/>
    <w:uiPriority w:val="99"/>
    <w:pPr>
      <w:spacing w:after="120"/>
    </w:pPr>
  </w:style>
  <w:style w:type="paragraph" w:styleId="12">
    <w:name w:val="Body Text Indent"/>
    <w:basedOn w:val="1"/>
    <w:next w:val="11"/>
    <w:qFormat/>
    <w:uiPriority w:val="99"/>
    <w:pPr>
      <w:spacing w:line="200" w:lineRule="exact"/>
      <w:ind w:firstLine="301"/>
    </w:pPr>
    <w:rPr>
      <w:szCs w:val="20"/>
    </w:rPr>
  </w:style>
  <w:style w:type="paragraph" w:styleId="13">
    <w:name w:val="toc 5"/>
    <w:next w:val="1"/>
    <w:semiHidden/>
    <w:unhideWhenUsed/>
    <w:qFormat/>
    <w:uiPriority w:val="39"/>
    <w:pPr>
      <w:ind w:left="500" w:leftChars="500"/>
    </w:pPr>
    <w:rPr>
      <w:rFonts w:eastAsia="宋体" w:asciiTheme="minorHAnsi" w:hAnsiTheme="minorHAnsi" w:cstheme="minorBidi"/>
      <w:kern w:val="2"/>
      <w:sz w:val="24"/>
      <w:szCs w:val="22"/>
      <w:lang w:val="en-US" w:eastAsia="zh-CN" w:bidi="ar-SA"/>
    </w:rPr>
  </w:style>
  <w:style w:type="paragraph" w:styleId="14">
    <w:name w:val="toc 3"/>
    <w:next w:val="1"/>
    <w:unhideWhenUsed/>
    <w:qFormat/>
    <w:uiPriority w:val="39"/>
    <w:pPr>
      <w:ind w:left="300" w:leftChars="300"/>
    </w:pPr>
    <w:rPr>
      <w:rFonts w:ascii="Times New Roman" w:hAnsi="Times New Roman" w:eastAsia="宋体" w:cstheme="minorBidi"/>
      <w:kern w:val="2"/>
      <w:sz w:val="21"/>
      <w:szCs w:val="22"/>
      <w:lang w:val="en-US" w:eastAsia="zh-CN" w:bidi="ar-SA"/>
    </w:rPr>
  </w:style>
  <w:style w:type="paragraph" w:styleId="15">
    <w:name w:val="Balloon Text"/>
    <w:basedOn w:val="1"/>
    <w:link w:val="47"/>
    <w:semiHidden/>
    <w:unhideWhenUsed/>
    <w:qFormat/>
    <w:uiPriority w:val="99"/>
    <w:pPr>
      <w:spacing w:line="240" w:lineRule="auto"/>
    </w:pPr>
    <w:rPr>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sz w:val="21"/>
      <w:szCs w:val="24"/>
    </w:rPr>
  </w:style>
  <w:style w:type="paragraph" w:styleId="18">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20"/>
    <w:unhideWhenUsed/>
    <w:qFormat/>
    <w:uiPriority w:val="39"/>
    <w:rPr>
      <w:sz w:val="21"/>
    </w:rPr>
  </w:style>
  <w:style w:type="paragraph" w:styleId="20">
    <w:name w:val="toc 2"/>
    <w:basedOn w:val="1"/>
    <w:next w:val="1"/>
    <w:unhideWhenUsed/>
    <w:qFormat/>
    <w:uiPriority w:val="39"/>
    <w:pPr>
      <w:ind w:left="420" w:leftChars="200"/>
    </w:pPr>
  </w:style>
  <w:style w:type="paragraph" w:styleId="21">
    <w:name w:val="toc 4"/>
    <w:next w:val="1"/>
    <w:unhideWhenUsed/>
    <w:qFormat/>
    <w:uiPriority w:val="39"/>
    <w:pPr>
      <w:ind w:left="400" w:leftChars="400"/>
    </w:pPr>
    <w:rPr>
      <w:rFonts w:eastAsia="宋体" w:asciiTheme="minorHAnsi" w:hAnsiTheme="minorHAnsi" w:cstheme="minorBidi"/>
      <w:kern w:val="2"/>
      <w:sz w:val="21"/>
      <w:szCs w:val="22"/>
      <w:lang w:val="en-US" w:eastAsia="zh-CN" w:bidi="ar-SA"/>
    </w:rPr>
  </w:style>
  <w:style w:type="paragraph" w:styleId="22">
    <w:name w:val="Normal (Web)"/>
    <w:basedOn w:val="1"/>
    <w:unhideWhenUsed/>
    <w:qFormat/>
    <w:uiPriority w:val="99"/>
    <w:pPr>
      <w:widowControl/>
      <w:spacing w:before="100" w:beforeAutospacing="1" w:after="100" w:afterAutospacing="1" w:line="240" w:lineRule="auto"/>
      <w:ind w:firstLine="0" w:firstLineChars="0"/>
      <w:jc w:val="left"/>
    </w:pPr>
    <w:rPr>
      <w:rFonts w:ascii="宋体" w:hAnsi="宋体" w:cs="宋体"/>
      <w:kern w:val="0"/>
      <w:szCs w:val="24"/>
    </w:rPr>
  </w:style>
  <w:style w:type="paragraph" w:styleId="23">
    <w:name w:val="annotation subject"/>
    <w:basedOn w:val="10"/>
    <w:next w:val="10"/>
    <w:link w:val="46"/>
    <w:semiHidden/>
    <w:unhideWhenUsed/>
    <w:qFormat/>
    <w:uiPriority w:val="99"/>
    <w:rPr>
      <w:b/>
      <w:bCs/>
    </w:rPr>
  </w:style>
  <w:style w:type="paragraph" w:styleId="24">
    <w:name w:val="Body Text First Indent"/>
    <w:basedOn w:val="1"/>
    <w:next w:val="1"/>
    <w:qFormat/>
    <w:uiPriority w:val="0"/>
    <w:pPr>
      <w:spacing w:after="120"/>
      <w:ind w:firstLine="420"/>
    </w:pPr>
    <w:rPr>
      <w:rFonts w:ascii="Tahoma" w:hAnsi="Tahoma" w:eastAsia="Times New Roman"/>
      <w:szCs w:val="24"/>
    </w:rPr>
  </w:style>
  <w:style w:type="table" w:styleId="26">
    <w:name w:val="Table Grid"/>
    <w:basedOn w:val="2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bCs/>
    </w:rPr>
  </w:style>
  <w:style w:type="character" w:styleId="29">
    <w:name w:val="Emphasis"/>
    <w:basedOn w:val="27"/>
    <w:qFormat/>
    <w:uiPriority w:val="20"/>
    <w:rPr>
      <w:i/>
    </w:rPr>
  </w:style>
  <w:style w:type="character" w:styleId="30">
    <w:name w:val="Hyperlink"/>
    <w:basedOn w:val="27"/>
    <w:unhideWhenUsed/>
    <w:qFormat/>
    <w:uiPriority w:val="99"/>
    <w:rPr>
      <w:color w:val="0563C1" w:themeColor="hyperlink"/>
      <w:u w:val="single"/>
      <w14:textFill>
        <w14:solidFill>
          <w14:schemeClr w14:val="hlink"/>
        </w14:solidFill>
      </w14:textFill>
    </w:rPr>
  </w:style>
  <w:style w:type="character" w:styleId="31">
    <w:name w:val="annotation reference"/>
    <w:basedOn w:val="27"/>
    <w:semiHidden/>
    <w:unhideWhenUsed/>
    <w:qFormat/>
    <w:uiPriority w:val="99"/>
    <w:rPr>
      <w:sz w:val="21"/>
      <w:szCs w:val="21"/>
    </w:rPr>
  </w:style>
  <w:style w:type="character" w:customStyle="1" w:styleId="32">
    <w:name w:val="标题 1 字符"/>
    <w:basedOn w:val="27"/>
    <w:link w:val="3"/>
    <w:qFormat/>
    <w:uiPriority w:val="9"/>
    <w:rPr>
      <w:rFonts w:ascii="Times New Roman" w:hAnsi="Times New Roman" w:eastAsia="宋体"/>
      <w:b/>
      <w:bCs/>
      <w:kern w:val="44"/>
      <w:sz w:val="30"/>
      <w:szCs w:val="44"/>
    </w:rPr>
  </w:style>
  <w:style w:type="character" w:customStyle="1" w:styleId="33">
    <w:name w:val="标题 2 字符"/>
    <w:basedOn w:val="27"/>
    <w:link w:val="4"/>
    <w:qFormat/>
    <w:uiPriority w:val="9"/>
    <w:rPr>
      <w:rFonts w:ascii="Times New Roman" w:hAnsi="Times New Roman" w:eastAsia="宋体" w:cstheme="majorBidi"/>
      <w:b/>
      <w:bCs/>
      <w:sz w:val="28"/>
      <w:szCs w:val="32"/>
    </w:rPr>
  </w:style>
  <w:style w:type="character" w:customStyle="1" w:styleId="34">
    <w:name w:val="标题 3 字符"/>
    <w:basedOn w:val="27"/>
    <w:link w:val="5"/>
    <w:qFormat/>
    <w:uiPriority w:val="9"/>
    <w:rPr>
      <w:rFonts w:ascii="Times New Roman" w:hAnsi="Times New Roman" w:eastAsia="宋体"/>
      <w:b/>
      <w:bCs/>
      <w:sz w:val="24"/>
      <w:szCs w:val="32"/>
    </w:rPr>
  </w:style>
  <w:style w:type="character" w:customStyle="1" w:styleId="35">
    <w:name w:val="页眉 字符"/>
    <w:basedOn w:val="27"/>
    <w:link w:val="18"/>
    <w:qFormat/>
    <w:uiPriority w:val="99"/>
    <w:rPr>
      <w:rFonts w:eastAsia="宋体"/>
      <w:sz w:val="18"/>
      <w:szCs w:val="18"/>
    </w:rPr>
  </w:style>
  <w:style w:type="character" w:customStyle="1" w:styleId="36">
    <w:name w:val="页脚 字符"/>
    <w:basedOn w:val="27"/>
    <w:link w:val="16"/>
    <w:qFormat/>
    <w:uiPriority w:val="99"/>
    <w:rPr>
      <w:rFonts w:eastAsia="宋体"/>
      <w:sz w:val="18"/>
      <w:szCs w:val="18"/>
    </w:rPr>
  </w:style>
  <w:style w:type="paragraph" w:customStyle="1" w:styleId="37">
    <w:name w:val="TOC 标题1"/>
    <w:basedOn w:val="3"/>
    <w:next w:val="1"/>
    <w:unhideWhenUsed/>
    <w:qFormat/>
    <w:uiPriority w:val="39"/>
    <w:pPr>
      <w:spacing w:after="0" w:line="259" w:lineRule="auto"/>
      <w:outlineLvl w:val="9"/>
    </w:pPr>
    <w:rPr>
      <w:rFonts w:asciiTheme="majorHAnsi" w:hAnsiTheme="majorHAnsi" w:eastAsiaTheme="majorEastAsia" w:cstheme="majorBidi"/>
      <w:b w:val="0"/>
      <w:bCs w:val="0"/>
      <w:color w:val="2F5597" w:themeColor="accent1" w:themeShade="BF"/>
      <w:kern w:val="0"/>
      <w:szCs w:val="32"/>
    </w:rPr>
  </w:style>
  <w:style w:type="paragraph" w:customStyle="1" w:styleId="38">
    <w:name w:val="列表段落1"/>
    <w:basedOn w:val="1"/>
    <w:qFormat/>
    <w:uiPriority w:val="34"/>
    <w:pPr>
      <w:ind w:firstLine="420"/>
    </w:pPr>
    <w:rPr>
      <w:rFonts w:ascii="Calibri" w:hAnsi="Calibri" w:cs="Times New Roman"/>
      <w:sz w:val="21"/>
    </w:rPr>
  </w:style>
  <w:style w:type="paragraph" w:styleId="39">
    <w:name w:val="List Paragraph"/>
    <w:basedOn w:val="1"/>
    <w:qFormat/>
    <w:uiPriority w:val="34"/>
    <w:pPr>
      <w:ind w:firstLine="420"/>
    </w:pPr>
  </w:style>
  <w:style w:type="character" w:customStyle="1" w:styleId="40">
    <w:name w:val="标题 4 字符"/>
    <w:basedOn w:val="27"/>
    <w:link w:val="6"/>
    <w:qFormat/>
    <w:uiPriority w:val="9"/>
    <w:rPr>
      <w:rFonts w:eastAsia="宋体" w:cstheme="majorBidi"/>
      <w:b/>
      <w:bCs/>
      <w:sz w:val="24"/>
      <w:szCs w:val="28"/>
    </w:rPr>
  </w:style>
  <w:style w:type="paragraph" w:customStyle="1" w:styleId="41">
    <w:name w:val="表格正文"/>
    <w:link w:val="43"/>
    <w:qFormat/>
    <w:uiPriority w:val="0"/>
    <w:pPr>
      <w:spacing w:before="20" w:beforeLines="20" w:after="20" w:afterLines="20"/>
    </w:pPr>
    <w:rPr>
      <w:rFonts w:ascii="Times New Roman" w:hAnsi="Times New Roman" w:eastAsia="宋体" w:cstheme="minorBidi"/>
      <w:i/>
      <w:iCs/>
      <w:color w:val="0070C0"/>
      <w:kern w:val="2"/>
      <w:sz w:val="24"/>
      <w:szCs w:val="22"/>
      <w:lang w:val="en-US" w:eastAsia="zh-CN" w:bidi="ar-SA"/>
    </w:rPr>
  </w:style>
  <w:style w:type="table" w:customStyle="1" w:styleId="42">
    <w:name w:val="网格型1"/>
    <w:basedOn w:val="2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3">
    <w:name w:val="表格正文 字符"/>
    <w:basedOn w:val="27"/>
    <w:link w:val="41"/>
    <w:qFormat/>
    <w:uiPriority w:val="0"/>
    <w:rPr>
      <w:rFonts w:ascii="Times New Roman" w:hAnsi="Times New Roman" w:eastAsia="宋体"/>
      <w:i/>
      <w:iCs/>
      <w:color w:val="0070C0"/>
      <w:sz w:val="24"/>
    </w:rPr>
  </w:style>
  <w:style w:type="table" w:customStyle="1" w:styleId="44">
    <w:name w:val="网格型2"/>
    <w:basedOn w:val="2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5">
    <w:name w:val="批注文字 字符"/>
    <w:basedOn w:val="27"/>
    <w:link w:val="10"/>
    <w:semiHidden/>
    <w:qFormat/>
    <w:uiPriority w:val="99"/>
    <w:rPr>
      <w:rFonts w:ascii="Times New Roman" w:hAnsi="Times New Roman" w:eastAsia="宋体"/>
      <w:sz w:val="24"/>
    </w:rPr>
  </w:style>
  <w:style w:type="character" w:customStyle="1" w:styleId="46">
    <w:name w:val="批注主题 字符"/>
    <w:basedOn w:val="45"/>
    <w:link w:val="23"/>
    <w:semiHidden/>
    <w:qFormat/>
    <w:uiPriority w:val="99"/>
    <w:rPr>
      <w:rFonts w:ascii="Times New Roman" w:hAnsi="Times New Roman" w:eastAsia="宋体"/>
      <w:b/>
      <w:bCs/>
      <w:sz w:val="24"/>
    </w:rPr>
  </w:style>
  <w:style w:type="character" w:customStyle="1" w:styleId="47">
    <w:name w:val="批注框文本 字符"/>
    <w:basedOn w:val="27"/>
    <w:link w:val="15"/>
    <w:semiHidden/>
    <w:qFormat/>
    <w:uiPriority w:val="99"/>
    <w:rPr>
      <w:rFonts w:ascii="Times New Roman" w:hAnsi="Times New Roman" w:eastAsia="宋体"/>
      <w:sz w:val="18"/>
      <w:szCs w:val="18"/>
    </w:rPr>
  </w:style>
  <w:style w:type="character" w:customStyle="1" w:styleId="48">
    <w:name w:val="正文文本 字符"/>
    <w:basedOn w:val="27"/>
    <w:link w:val="11"/>
    <w:qFormat/>
    <w:uiPriority w:val="99"/>
    <w:rPr>
      <w:rFonts w:ascii="Times New Roman" w:hAnsi="Times New Roman" w:eastAsia="宋体"/>
      <w:kern w:val="2"/>
      <w:sz w:val="24"/>
      <w:szCs w:val="22"/>
    </w:rPr>
  </w:style>
  <w:style w:type="paragraph" w:customStyle="1" w:styleId="49">
    <w:name w:val="纯文本1"/>
    <w:basedOn w:val="1"/>
    <w:qFormat/>
    <w:uiPriority w:val="0"/>
    <w:rPr>
      <w:rFonts w:ascii="宋体" w:hAnsi="Courier New"/>
      <w:szCs w:val="20"/>
    </w:rPr>
  </w:style>
  <w:style w:type="paragraph" w:customStyle="1" w:styleId="50">
    <w:name w:val="纯文本2"/>
    <w:basedOn w:val="1"/>
    <w:qFormat/>
    <w:uiPriority w:val="0"/>
    <w:rPr>
      <w:rFonts w:ascii="宋体" w:hAnsi="Courier New" w:eastAsia="楷体_GB2312" w:cs="Times New Roman"/>
      <w:sz w:val="26"/>
      <w:szCs w:val="20"/>
    </w:rPr>
  </w:style>
  <w:style w:type="paragraph" w:customStyle="1" w:styleId="51">
    <w:name w:val="方案正文"/>
    <w:basedOn w:val="1"/>
    <w:qFormat/>
    <w:uiPriority w:val="0"/>
    <w:pPr>
      <w:snapToGrid w:val="0"/>
      <w:spacing w:line="440" w:lineRule="atLeast"/>
    </w:pPr>
  </w:style>
  <w:style w:type="paragraph" w:customStyle="1" w:styleId="52">
    <w:name w:val="Revision"/>
    <w:hidden/>
    <w:unhideWhenUsed/>
    <w:qFormat/>
    <w:uiPriority w:val="99"/>
    <w:rPr>
      <w:rFonts w:ascii="Times New Roman" w:hAnsi="Times New Roman"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53CB3-422F-4A16-A33A-E48B1977396C}">
  <ds:schemaRefs/>
</ds:datastoreItem>
</file>

<file path=docProps/app.xml><?xml version="1.0" encoding="utf-8"?>
<Properties xmlns="http://schemas.openxmlformats.org/officeDocument/2006/extended-properties" xmlns:vt="http://schemas.openxmlformats.org/officeDocument/2006/docPropsVTypes">
  <Template>Normal.dotm</Template>
  <Pages>68</Pages>
  <Words>13399</Words>
  <Characters>14659</Characters>
  <Lines>1343</Lines>
  <Paragraphs>1160</Paragraphs>
  <TotalTime>11</TotalTime>
  <ScaleCrop>false</ScaleCrop>
  <LinksUpToDate>false</LinksUpToDate>
  <CharactersWithSpaces>14832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2025-03-27T07:34:00Z</dcterms:created>
  <dc:creator>bao xiong</dc:creator>
  <cp:lastModifiedBy>WPS_1656312169</cp:lastModifiedBy>
  <dcterms:modified xsi:type="dcterms:W3CDTF">2025-10-30T01:17:58Z</dcterms:modified>
  <cp:revision>208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47A13C0949D848BCB4A4762ABC80EF96_13</vt:lpwstr>
  </property>
  <property fmtid="{D5CDD505-2E9C-101B-9397-08002B2CF9AE}" pid="4" name="KSOTemplateDocerSaveRecord">
    <vt:lpwstr>eyJoZGlkIjoiYzk3Yzc4YzMwZTBlYzEzNmMwZDU4YWM5MjNiYTU1NjgiLCJ1c2VySWQiOiIxMzg4MDYzNTM4In0=</vt:lpwstr>
  </property>
</Properties>
</file>